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7AF9" w14:textId="75457F0A" w:rsidR="00C33278" w:rsidRDefault="00F01FAB">
      <w:pPr>
        <w:spacing w:line="360" w:lineRule="auto"/>
        <w:rPr>
          <w:b/>
        </w:rPr>
      </w:pPr>
      <w:bookmarkStart w:id="0" w:name="_heading=h.gjdgxs" w:colFirst="0" w:colLast="0"/>
      <w:bookmarkEnd w:id="0"/>
      <w:r>
        <w:rPr>
          <w:b/>
        </w:rPr>
        <w:t>Title: To a charismatic rescue: Designing a blueprint to steer</w:t>
      </w:r>
      <w:r>
        <w:rPr>
          <w:b/>
        </w:rPr>
        <w:t xml:space="preserve"> F</w:t>
      </w:r>
      <w:r>
        <w:rPr>
          <w:b/>
        </w:rPr>
        <w:t>ishing C</w:t>
      </w:r>
      <w:r>
        <w:rPr>
          <w:b/>
        </w:rPr>
        <w:t>at conservation for</w:t>
      </w:r>
      <w:r>
        <w:rPr>
          <w:b/>
        </w:rPr>
        <w:t xml:space="preserve"> safeguarding</w:t>
      </w:r>
      <w:r>
        <w:rPr>
          <w:b/>
        </w:rPr>
        <w:t xml:space="preserve"> Indian wetlands</w:t>
      </w:r>
    </w:p>
    <w:p w14:paraId="438D5782" w14:textId="77777777" w:rsidR="00C33278" w:rsidRDefault="00C33278">
      <w:pPr>
        <w:spacing w:line="360" w:lineRule="auto"/>
        <w:rPr>
          <w:b/>
        </w:rPr>
      </w:pPr>
      <w:bookmarkStart w:id="1" w:name="_heading=h.wbirskz1ffb4" w:colFirst="0" w:colLast="0"/>
      <w:bookmarkEnd w:id="1"/>
    </w:p>
    <w:p w14:paraId="2062E0C8" w14:textId="77777777" w:rsidR="00C33278" w:rsidRDefault="00F01FAB">
      <w:pPr>
        <w:spacing w:line="360" w:lineRule="auto"/>
        <w:rPr>
          <w:b/>
        </w:rPr>
      </w:pPr>
      <w:r>
        <w:rPr>
          <w:b/>
        </w:rPr>
        <w:t>Supplementary Information</w:t>
      </w:r>
    </w:p>
    <w:p w14:paraId="0C56283C" w14:textId="77777777" w:rsidR="00C33278" w:rsidRDefault="00C33278">
      <w:pPr>
        <w:spacing w:line="360" w:lineRule="auto"/>
        <w:rPr>
          <w:b/>
        </w:rPr>
      </w:pPr>
    </w:p>
    <w:p w14:paraId="60523586" w14:textId="77777777" w:rsidR="00C33278" w:rsidRDefault="00F01FAB">
      <w:pPr>
        <w:spacing w:line="360" w:lineRule="auto"/>
        <w:rPr>
          <w:i/>
        </w:rPr>
      </w:pPr>
      <w:r>
        <w:rPr>
          <w:b/>
        </w:rPr>
        <w:t xml:space="preserve">Appendix A: Habitat suitability modelling </w:t>
      </w:r>
    </w:p>
    <w:p w14:paraId="4CDC4A91" w14:textId="77777777" w:rsidR="00C33278" w:rsidRDefault="00C33278">
      <w:pPr>
        <w:spacing w:line="360" w:lineRule="auto"/>
        <w:rPr>
          <w:i/>
        </w:rPr>
      </w:pPr>
    </w:p>
    <w:p w14:paraId="3A25844D" w14:textId="77777777" w:rsidR="00C33278" w:rsidRDefault="00F01FAB">
      <w:pPr>
        <w:spacing w:line="360" w:lineRule="auto"/>
        <w:rPr>
          <w:b/>
        </w:rPr>
      </w:pPr>
      <w:r>
        <w:rPr>
          <w:b/>
        </w:rPr>
        <w:t xml:space="preserve">Table A1: </w:t>
      </w:r>
      <w:hyperlink r:id="rId5" w:anchor="gid=478722472">
        <w:r>
          <w:rPr>
            <w:color w:val="0000EE"/>
            <w:u w:val="single"/>
          </w:rPr>
          <w:t>Presence records of the Fishing Cat in the Indian mainland.xlsx</w:t>
        </w:r>
      </w:hyperlink>
    </w:p>
    <w:p w14:paraId="4C515FD4" w14:textId="77777777" w:rsidR="00C33278" w:rsidRDefault="00C33278"/>
    <w:p w14:paraId="68D62A65" w14:textId="77777777" w:rsidR="00C33278" w:rsidRDefault="00F01FAB">
      <w:pPr>
        <w:spacing w:line="360" w:lineRule="auto"/>
      </w:pPr>
      <w:r>
        <w:rPr>
          <w:b/>
        </w:rPr>
        <w:t>Table A2:</w:t>
      </w:r>
      <w:r>
        <w:t xml:space="preserve"> Data sources for environmental variables used in Habitat Suitabilit</w:t>
      </w:r>
      <w:r>
        <w:t>y Modelling</w:t>
      </w:r>
    </w:p>
    <w:tbl>
      <w:tblPr>
        <w:tblStyle w:val="a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33278" w14:paraId="504BB41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5517C" w14:textId="77777777" w:rsidR="00C33278" w:rsidRDefault="00F01FAB">
            <w:pPr>
              <w:spacing w:line="360" w:lineRule="auto"/>
            </w:pPr>
            <w:r>
              <w:t>Environmental variable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F85B" w14:textId="77777777" w:rsidR="00C33278" w:rsidRDefault="00F01FAB">
            <w:pPr>
              <w:spacing w:line="360" w:lineRule="auto"/>
            </w:pPr>
            <w:r>
              <w:t>Source</w:t>
            </w:r>
          </w:p>
        </w:tc>
      </w:tr>
      <w:tr w:rsidR="00C33278" w14:paraId="518F287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7D76E" w14:textId="77777777" w:rsidR="00C33278" w:rsidRDefault="00F01FAB">
            <w:pPr>
              <w:spacing w:line="360" w:lineRule="auto"/>
            </w:pPr>
            <w:r>
              <w:t>Bioclimatic variables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055F9" w14:textId="77777777" w:rsidR="00C33278" w:rsidRDefault="00F01FAB">
            <w:pPr>
              <w:spacing w:line="360" w:lineRule="auto"/>
            </w:pPr>
            <w:hyperlink r:id="rId6">
              <w:r>
                <w:rPr>
                  <w:color w:val="1155CC"/>
                  <w:u w:val="single"/>
                </w:rPr>
                <w:t>https://www.worldclim.org/data/bioclim.html</w:t>
              </w:r>
            </w:hyperlink>
          </w:p>
        </w:tc>
      </w:tr>
      <w:tr w:rsidR="00C33278" w14:paraId="3E1D196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F790C" w14:textId="77777777" w:rsidR="00C33278" w:rsidRDefault="00F01FAB">
            <w:pPr>
              <w:spacing w:line="360" w:lineRule="auto"/>
            </w:pPr>
            <w:r>
              <w:t>Elevation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C72E" w14:textId="77777777" w:rsidR="00C33278" w:rsidRDefault="00F01FAB">
            <w:pPr>
              <w:spacing w:line="360" w:lineRule="auto"/>
            </w:pPr>
            <w:hyperlink r:id="rId7">
              <w:r>
                <w:rPr>
                  <w:color w:val="1155CC"/>
                  <w:u w:val="single"/>
                </w:rPr>
                <w:t>https:</w:t>
              </w:r>
              <w:r>
                <w:rPr>
                  <w:color w:val="1155CC"/>
                  <w:u w:val="single"/>
                </w:rPr>
                <w:t>//www.ngdc.noaa.gov/mgg/topo/gltiles.html</w:t>
              </w:r>
            </w:hyperlink>
          </w:p>
        </w:tc>
      </w:tr>
      <w:tr w:rsidR="00C33278" w14:paraId="60E4686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59C8D" w14:textId="77777777" w:rsidR="00C33278" w:rsidRDefault="00F01FAB">
            <w:pPr>
              <w:spacing w:line="360" w:lineRule="auto"/>
            </w:pPr>
            <w:r>
              <w:t>Land use land cover (2012)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3B646" w14:textId="77777777" w:rsidR="00C33278" w:rsidRDefault="00F01FAB">
            <w:pPr>
              <w:spacing w:line="360" w:lineRule="auto"/>
            </w:pPr>
            <w:hyperlink r:id="rId8">
              <w:r>
                <w:rPr>
                  <w:color w:val="1155CC"/>
                  <w:u w:val="single"/>
                </w:rPr>
                <w:t>https://globalmaps.github.io/glcnmo.html</w:t>
              </w:r>
            </w:hyperlink>
          </w:p>
        </w:tc>
      </w:tr>
      <w:tr w:rsidR="00C33278" w14:paraId="62DA8B1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53FFC" w14:textId="77777777" w:rsidR="00C33278" w:rsidRDefault="00F01FAB">
            <w:pPr>
              <w:spacing w:line="360" w:lineRule="auto"/>
            </w:pPr>
            <w:r>
              <w:t>Human population density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46BDB" w14:textId="77777777" w:rsidR="00C33278" w:rsidRDefault="00F01FAB">
            <w:pPr>
              <w:spacing w:line="360" w:lineRule="auto"/>
            </w:pPr>
            <w:hyperlink r:id="rId9">
              <w:r>
                <w:rPr>
                  <w:color w:val="1155CC"/>
                  <w:u w:val="single"/>
                </w:rPr>
                <w:t>https://sedac.ciesin.columbia.edu/data/set/gpw-v4-population-density-adjusted-to-2015-unwpp-country-totals-rev11</w:t>
              </w:r>
              <w:r>
                <w:rPr>
                  <w:color w:val="1155CC"/>
                  <w:u w:val="single"/>
                </w:rPr>
                <w:t>/data-download</w:t>
              </w:r>
            </w:hyperlink>
          </w:p>
        </w:tc>
      </w:tr>
      <w:tr w:rsidR="00C33278" w14:paraId="7852719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1B8F" w14:textId="77777777" w:rsidR="00C33278" w:rsidRDefault="00F01FAB">
            <w:pPr>
              <w:spacing w:line="360" w:lineRule="auto"/>
            </w:pPr>
            <w:r>
              <w:t>Soil water content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C3DF9" w14:textId="77777777" w:rsidR="00C33278" w:rsidRDefault="00F01FAB">
            <w:pPr>
              <w:spacing w:line="360" w:lineRule="auto"/>
            </w:pPr>
            <w:hyperlink r:id="rId10">
              <w:r>
                <w:rPr>
                  <w:color w:val="1155CC"/>
                  <w:u w:val="single"/>
                </w:rPr>
                <w:t>https://cgiarcsi.community/data/global-high-resolution-soil-water-balance/</w:t>
              </w:r>
            </w:hyperlink>
          </w:p>
        </w:tc>
      </w:tr>
    </w:tbl>
    <w:p w14:paraId="0DDBA81D" w14:textId="77777777" w:rsidR="00C33278" w:rsidRDefault="00C33278">
      <w:pPr>
        <w:spacing w:line="360" w:lineRule="auto"/>
      </w:pPr>
    </w:p>
    <w:p w14:paraId="3ECD0B52" w14:textId="77777777" w:rsidR="00C33278" w:rsidRDefault="00F01FAB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5125D270" wp14:editId="3306E0EA">
            <wp:extent cx="5730240" cy="5593080"/>
            <wp:effectExtent l="0" t="0" r="0" b="0"/>
            <wp:docPr id="1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5593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3817C3" w14:textId="77777777" w:rsidR="00C33278" w:rsidRDefault="00F01FAB">
      <w:pPr>
        <w:spacing w:line="360" w:lineRule="auto"/>
        <w:jc w:val="center"/>
      </w:pPr>
      <w:r>
        <w:rPr>
          <w:b/>
        </w:rPr>
        <w:t>Figure A1:</w:t>
      </w:r>
      <w:r>
        <w:t xml:space="preserve"> Output raster from the best habitat s</w:t>
      </w:r>
      <w:r>
        <w:t xml:space="preserve">uitability model </w:t>
      </w:r>
    </w:p>
    <w:p w14:paraId="11F47EEA" w14:textId="77777777" w:rsidR="00C33278" w:rsidRDefault="00F01FAB">
      <w:pPr>
        <w:spacing w:line="360" w:lineRule="auto"/>
        <w:jc w:val="center"/>
      </w:pPr>
      <w:r>
        <w:t>(</w:t>
      </w:r>
      <w:proofErr w:type="gramStart"/>
      <w:r>
        <w:t>features</w:t>
      </w:r>
      <w:proofErr w:type="gramEnd"/>
      <w:r>
        <w:t xml:space="preserve"> - LQP and regularization multiplier - 2)</w:t>
      </w:r>
    </w:p>
    <w:p w14:paraId="6BB5A023" w14:textId="77777777" w:rsidR="00C33278" w:rsidRDefault="00C33278">
      <w:pPr>
        <w:spacing w:line="360" w:lineRule="auto"/>
        <w:rPr>
          <w:b/>
        </w:rPr>
      </w:pPr>
    </w:p>
    <w:p w14:paraId="31CD4358" w14:textId="77777777" w:rsidR="00C33278" w:rsidRDefault="00F01FAB">
      <w:pPr>
        <w:spacing w:line="360" w:lineRule="auto"/>
      </w:pPr>
      <w:r>
        <w:rPr>
          <w:b/>
        </w:rPr>
        <w:t>Table A3</w:t>
      </w:r>
      <w:r>
        <w:t xml:space="preserve">: Contribution and importance of environmental predictors obtained from the final </w:t>
      </w:r>
      <w:proofErr w:type="spellStart"/>
      <w:r>
        <w:t>MaxEnt</w:t>
      </w:r>
      <w:proofErr w:type="spellEnd"/>
      <w:r>
        <w:t xml:space="preserve"> model shown in Fig. A1</w:t>
      </w:r>
    </w:p>
    <w:tbl>
      <w:tblPr>
        <w:tblStyle w:val="af"/>
        <w:tblW w:w="9067" w:type="dxa"/>
        <w:tblLayout w:type="fixed"/>
        <w:tblLook w:val="0400" w:firstRow="0" w:lastRow="0" w:firstColumn="0" w:lastColumn="0" w:noHBand="0" w:noVBand="1"/>
      </w:tblPr>
      <w:tblGrid>
        <w:gridCol w:w="3256"/>
        <w:gridCol w:w="2693"/>
        <w:gridCol w:w="3118"/>
      </w:tblGrid>
      <w:tr w:rsidR="00C33278" w14:paraId="4126120A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D5EB6" w14:textId="77777777" w:rsidR="00C33278" w:rsidRDefault="00F01FA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73A7D" w14:textId="77777777" w:rsidR="00C33278" w:rsidRDefault="00F01FA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Variable Contribution (</w:t>
            </w:r>
            <w:proofErr w:type="spellStart"/>
            <w:r>
              <w:rPr>
                <w:b/>
              </w:rPr>
              <w:t>Mean±SD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BCD77" w14:textId="77777777" w:rsidR="00C33278" w:rsidRDefault="00F01FA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Permutation Importance</w:t>
            </w:r>
          </w:p>
        </w:tc>
      </w:tr>
      <w:tr w:rsidR="00C33278" w14:paraId="4925CCC7" w14:textId="77777777">
        <w:trPr>
          <w:trHeight w:val="312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EF23B" w14:textId="77777777" w:rsidR="00C33278" w:rsidRDefault="00F01FAB">
            <w:pPr>
              <w:spacing w:line="240" w:lineRule="auto"/>
              <w:jc w:val="center"/>
            </w:pPr>
            <w:r>
              <w:t>Bio17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FB127" w14:textId="77777777" w:rsidR="00C33278" w:rsidRDefault="00F01FAB">
            <w:pPr>
              <w:spacing w:line="240" w:lineRule="auto"/>
              <w:jc w:val="center"/>
            </w:pPr>
            <w:r>
              <w:t>5.02±3.21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BF86B" w14:textId="77777777" w:rsidR="00C33278" w:rsidRDefault="00F01FAB">
            <w:pPr>
              <w:spacing w:line="240" w:lineRule="auto"/>
              <w:jc w:val="center"/>
            </w:pPr>
            <w:r>
              <w:t>26.34±8.43</w:t>
            </w:r>
          </w:p>
        </w:tc>
      </w:tr>
      <w:tr w:rsidR="00C33278" w14:paraId="6AE6CB5C" w14:textId="77777777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DD911" w14:textId="77777777" w:rsidR="00C33278" w:rsidRDefault="00F01FAB">
            <w:pPr>
              <w:spacing w:line="240" w:lineRule="auto"/>
              <w:jc w:val="center"/>
            </w:pPr>
            <w:r>
              <w:t>Bio18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D4042" w14:textId="77777777" w:rsidR="00C33278" w:rsidRDefault="00F01FAB">
            <w:pPr>
              <w:spacing w:line="240" w:lineRule="auto"/>
              <w:jc w:val="center"/>
            </w:pPr>
            <w:r>
              <w:t>3.79±3.03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71113" w14:textId="77777777" w:rsidR="00C33278" w:rsidRDefault="00F01FAB">
            <w:pPr>
              <w:spacing w:line="240" w:lineRule="auto"/>
              <w:jc w:val="center"/>
            </w:pPr>
            <w:r>
              <w:t>1.74±1.24</w:t>
            </w:r>
          </w:p>
        </w:tc>
      </w:tr>
      <w:tr w:rsidR="00C33278" w14:paraId="433E6A3B" w14:textId="77777777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470DF" w14:textId="77777777" w:rsidR="00C33278" w:rsidRDefault="00F01FAB">
            <w:pPr>
              <w:spacing w:line="240" w:lineRule="auto"/>
              <w:jc w:val="center"/>
            </w:pPr>
            <w:r>
              <w:t>Bio19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FCF2" w14:textId="77777777" w:rsidR="00C33278" w:rsidRDefault="00F01FAB">
            <w:pPr>
              <w:spacing w:line="240" w:lineRule="auto"/>
              <w:jc w:val="center"/>
            </w:pPr>
            <w:r>
              <w:t>1.53±1.03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692E7" w14:textId="77777777" w:rsidR="00C33278" w:rsidRDefault="00F01FAB">
            <w:pPr>
              <w:spacing w:line="240" w:lineRule="auto"/>
              <w:jc w:val="center"/>
            </w:pPr>
            <w:r>
              <w:t>2.2±2.39</w:t>
            </w:r>
          </w:p>
        </w:tc>
      </w:tr>
      <w:tr w:rsidR="00C33278" w14:paraId="54892237" w14:textId="77777777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E29C2" w14:textId="77777777" w:rsidR="00C33278" w:rsidRDefault="00F01FAB">
            <w:pPr>
              <w:spacing w:line="240" w:lineRule="auto"/>
              <w:jc w:val="center"/>
            </w:pPr>
            <w:r>
              <w:t>Bio02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4C687" w14:textId="77777777" w:rsidR="00C33278" w:rsidRDefault="00F01FAB">
            <w:pPr>
              <w:spacing w:line="240" w:lineRule="auto"/>
              <w:jc w:val="center"/>
            </w:pPr>
            <w:r>
              <w:t>6.86±1.49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0F4B8" w14:textId="77777777" w:rsidR="00C33278" w:rsidRDefault="00F01FAB">
            <w:pPr>
              <w:spacing w:line="240" w:lineRule="auto"/>
              <w:jc w:val="center"/>
            </w:pPr>
            <w:r>
              <w:t>6.34±1.98</w:t>
            </w:r>
          </w:p>
        </w:tc>
      </w:tr>
      <w:tr w:rsidR="00C33278" w14:paraId="31A2831E" w14:textId="77777777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27D0F" w14:textId="77777777" w:rsidR="00C33278" w:rsidRDefault="00F01FAB">
            <w:pPr>
              <w:spacing w:line="240" w:lineRule="auto"/>
              <w:jc w:val="center"/>
            </w:pPr>
            <w:r>
              <w:t>Elevation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48391" w14:textId="77777777" w:rsidR="00C33278" w:rsidRDefault="00F01FAB">
            <w:pPr>
              <w:spacing w:line="240" w:lineRule="auto"/>
              <w:jc w:val="center"/>
            </w:pPr>
            <w:r>
              <w:t>20.82±4.56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8005A" w14:textId="77777777" w:rsidR="00C33278" w:rsidRDefault="00F01FAB">
            <w:pPr>
              <w:spacing w:line="240" w:lineRule="auto"/>
              <w:jc w:val="center"/>
            </w:pPr>
            <w:r>
              <w:t>36.35±4.85</w:t>
            </w:r>
          </w:p>
        </w:tc>
      </w:tr>
      <w:tr w:rsidR="00C33278" w14:paraId="52BB4481" w14:textId="77777777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CEAA4" w14:textId="77777777" w:rsidR="00C33278" w:rsidRDefault="00F01FAB">
            <w:pPr>
              <w:spacing w:line="240" w:lineRule="auto"/>
              <w:jc w:val="center"/>
            </w:pPr>
            <w:r>
              <w:t>LULC (2012)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28021" w14:textId="77777777" w:rsidR="00C33278" w:rsidRDefault="00F01FAB">
            <w:pPr>
              <w:spacing w:line="240" w:lineRule="auto"/>
              <w:jc w:val="center"/>
            </w:pPr>
            <w:r>
              <w:t>57.29±16.62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A30B3" w14:textId="77777777" w:rsidR="00C33278" w:rsidRDefault="00F01FAB">
            <w:pPr>
              <w:spacing w:line="240" w:lineRule="auto"/>
              <w:jc w:val="center"/>
            </w:pPr>
            <w:r>
              <w:t>21.39±6.55</w:t>
            </w:r>
          </w:p>
        </w:tc>
      </w:tr>
      <w:tr w:rsidR="00C33278" w14:paraId="00D6FBE2" w14:textId="77777777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FDDE7" w14:textId="77777777" w:rsidR="00C33278" w:rsidRDefault="00F01FAB">
            <w:pPr>
              <w:spacing w:line="240" w:lineRule="auto"/>
              <w:jc w:val="center"/>
            </w:pPr>
            <w:r>
              <w:t>Population density (2020)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0ED57" w14:textId="77777777" w:rsidR="00C33278" w:rsidRDefault="00F01FAB">
            <w:pPr>
              <w:spacing w:line="240" w:lineRule="auto"/>
              <w:jc w:val="center"/>
            </w:pPr>
            <w:r>
              <w:t>0.24±0.44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DF75A" w14:textId="77777777" w:rsidR="00C33278" w:rsidRDefault="00F01FAB">
            <w:pPr>
              <w:spacing w:line="240" w:lineRule="auto"/>
              <w:jc w:val="center"/>
            </w:pPr>
            <w:r>
              <w:t>0.18±0.36</w:t>
            </w:r>
          </w:p>
        </w:tc>
      </w:tr>
      <w:tr w:rsidR="00C33278" w14:paraId="2BBC691F" w14:textId="77777777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9CBD1" w14:textId="77777777" w:rsidR="00C33278" w:rsidRDefault="00F01FAB">
            <w:pPr>
              <w:spacing w:line="240" w:lineRule="auto"/>
              <w:jc w:val="center"/>
            </w:pPr>
            <w:r>
              <w:t>Soil Water Content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CEC0B" w14:textId="77777777" w:rsidR="00C33278" w:rsidRDefault="00F01FAB">
            <w:pPr>
              <w:spacing w:line="240" w:lineRule="auto"/>
              <w:jc w:val="center"/>
            </w:pPr>
            <w:r>
              <w:t>4.45±5.75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1C25" w14:textId="77777777" w:rsidR="00C33278" w:rsidRDefault="00F01FAB">
            <w:pPr>
              <w:spacing w:line="240" w:lineRule="auto"/>
              <w:jc w:val="center"/>
            </w:pPr>
            <w:r>
              <w:t>5.45±5.35</w:t>
            </w:r>
          </w:p>
        </w:tc>
      </w:tr>
    </w:tbl>
    <w:p w14:paraId="76198E25" w14:textId="77777777" w:rsidR="00C33278" w:rsidRDefault="00C33278">
      <w:pPr>
        <w:spacing w:line="360" w:lineRule="auto"/>
        <w:rPr>
          <w:b/>
          <w:color w:val="222222"/>
          <w:sz w:val="24"/>
          <w:szCs w:val="24"/>
          <w:highlight w:val="white"/>
        </w:rPr>
      </w:pPr>
    </w:p>
    <w:p w14:paraId="4D6F1102" w14:textId="77777777" w:rsidR="00C33278" w:rsidRDefault="00F01FAB">
      <w:pPr>
        <w:spacing w:line="360" w:lineRule="auto"/>
        <w:rPr>
          <w:b/>
          <w:color w:val="222222"/>
          <w:highlight w:val="white"/>
        </w:rPr>
      </w:pPr>
      <w:r>
        <w:rPr>
          <w:b/>
          <w:noProof/>
          <w:color w:val="222222"/>
          <w:highlight w:val="white"/>
        </w:rPr>
        <w:drawing>
          <wp:inline distT="0" distB="0" distL="0" distR="0" wp14:anchorId="29EF3CC3" wp14:editId="59FAD0D1">
            <wp:extent cx="5731200" cy="4305300"/>
            <wp:effectExtent l="0" t="0" r="0" b="0"/>
            <wp:docPr id="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30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EC6566" w14:textId="77777777" w:rsidR="00C33278" w:rsidRDefault="00F01FAB">
      <w:pPr>
        <w:spacing w:line="360" w:lineRule="auto"/>
        <w:rPr>
          <w:color w:val="222222"/>
          <w:highlight w:val="white"/>
        </w:rPr>
      </w:pPr>
      <w:r>
        <w:rPr>
          <w:b/>
          <w:color w:val="222222"/>
          <w:highlight w:val="white"/>
        </w:rPr>
        <w:t>Figure A2:</w:t>
      </w:r>
      <w:r>
        <w:rPr>
          <w:color w:val="222222"/>
          <w:highlight w:val="white"/>
        </w:rPr>
        <w:t xml:space="preserve"> Response curves obtained from the replicate with highest TSS value and lowest omission rates (P10 and ESS thresholds) for the best </w:t>
      </w:r>
      <w:proofErr w:type="spellStart"/>
      <w:r>
        <w:rPr>
          <w:color w:val="222222"/>
          <w:highlight w:val="white"/>
        </w:rPr>
        <w:t>MaxEnt</w:t>
      </w:r>
      <w:proofErr w:type="spellEnd"/>
      <w:r>
        <w:rPr>
          <w:color w:val="222222"/>
          <w:highlight w:val="white"/>
        </w:rPr>
        <w:t xml:space="preserve"> model</w:t>
      </w:r>
    </w:p>
    <w:p w14:paraId="5FFAD491" w14:textId="77777777" w:rsidR="00C33278" w:rsidRDefault="00C33278">
      <w:pPr>
        <w:spacing w:line="360" w:lineRule="auto"/>
        <w:rPr>
          <w:b/>
          <w:color w:val="222222"/>
          <w:sz w:val="24"/>
          <w:szCs w:val="24"/>
          <w:highlight w:val="white"/>
        </w:rPr>
      </w:pPr>
    </w:p>
    <w:p w14:paraId="34B9A8B3" w14:textId="77777777" w:rsidR="00C33278" w:rsidRDefault="00F01FAB">
      <w:pPr>
        <w:spacing w:line="360" w:lineRule="auto"/>
        <w:rPr>
          <w:b/>
        </w:rPr>
      </w:pPr>
      <w:r>
        <w:rPr>
          <w:b/>
        </w:rPr>
        <w:t>LULC Class</w:t>
      </w:r>
      <w:r>
        <w:rPr>
          <w:b/>
        </w:rPr>
        <w:t>ification for interpreting the above response curve</w:t>
      </w:r>
    </w:p>
    <w:p w14:paraId="5189B5B1" w14:textId="36E15D0C" w:rsidR="00C33278" w:rsidRDefault="00F01FAB">
      <w:pPr>
        <w:spacing w:line="360" w:lineRule="auto"/>
      </w:pPr>
      <w:r>
        <w:t>Broadleaf Evergreen Forest (1), Broadleaf Deciduous Forest (2), Needleleaf Evergreen Forest (3), Needleleaf Deciduous Forest (4), Mixed Forest (5), Tree Open (6), Shrub (7), Herbaceous (8), Herbaceous wit</w:t>
      </w:r>
      <w:r>
        <w:t xml:space="preserve">h Sparse Tree/Shrub (9), Sparse vegetation (10), Cropland (11), Paddy field (12), Cropland/Other Vegetation Mosaic (13), Mangrove (14), Wetland (15), Bare area (16), </w:t>
      </w:r>
      <w:r>
        <w:t xml:space="preserve">consolidated </w:t>
      </w:r>
      <w:r>
        <w:t xml:space="preserve">(gravel, rock) (17), Bare area, consolidated(sand) (18), Urban, Snow/Ice (19), </w:t>
      </w:r>
      <w:r>
        <w:t>Water bodies (20)</w:t>
      </w:r>
    </w:p>
    <w:p w14:paraId="2B0C18E6" w14:textId="77777777" w:rsidR="00C33278" w:rsidRDefault="00C33278">
      <w:pPr>
        <w:spacing w:line="360" w:lineRule="auto"/>
      </w:pPr>
    </w:p>
    <w:p w14:paraId="0A2401FB" w14:textId="77777777" w:rsidR="00C33278" w:rsidRDefault="00F01FAB">
      <w:pPr>
        <w:spacing w:line="240" w:lineRule="auto"/>
        <w:rPr>
          <w:b/>
        </w:rPr>
      </w:pPr>
      <w:r>
        <w:rPr>
          <w:b/>
        </w:rPr>
        <w:t>Appendix B: Omnidirectional Connectivity analysis</w:t>
      </w:r>
    </w:p>
    <w:p w14:paraId="226CA62B" w14:textId="77777777" w:rsidR="00C33278" w:rsidRDefault="00C33278">
      <w:pPr>
        <w:spacing w:line="240" w:lineRule="auto"/>
      </w:pPr>
    </w:p>
    <w:p w14:paraId="3D2F8B00" w14:textId="77777777" w:rsidR="00C33278" w:rsidRDefault="00F01FAB">
      <w:pPr>
        <w:spacing w:line="360" w:lineRule="auto"/>
      </w:pPr>
      <w:r>
        <w:tab/>
      </w:r>
      <w:r>
        <w:t> To model connectivity, we first modified the approach detailed by Pelletier et al. (2014). We first applied a buffer (filled with random resistance values) around the resistance raster and created pixel wide current source and sink sites along the edges o</w:t>
      </w:r>
      <w:r>
        <w:t xml:space="preserve">f this raster. Current was first modelled to flow in the North-South and then along the East-West direction using the software </w:t>
      </w:r>
      <w:proofErr w:type="spellStart"/>
      <w:r>
        <w:rPr>
          <w:i/>
        </w:rPr>
        <w:t>Circuitscape</w:t>
      </w:r>
      <w:proofErr w:type="spellEnd"/>
      <w:r>
        <w:t xml:space="preserve">, implemented in R v4.0.5. Values from the two current maps </w:t>
      </w:r>
      <w:r>
        <w:lastRenderedPageBreak/>
        <w:t>were multiplied and log transformed (after cropping out t</w:t>
      </w:r>
      <w:r>
        <w:t>he buffer) to create an omnidirectional current map, representing landscape level connectivity.</w:t>
      </w:r>
    </w:p>
    <w:p w14:paraId="63F44E7F" w14:textId="77777777" w:rsidR="00C33278" w:rsidRDefault="00C33278">
      <w:pPr>
        <w:spacing w:line="360" w:lineRule="auto"/>
        <w:jc w:val="center"/>
      </w:pPr>
    </w:p>
    <w:p w14:paraId="2E7453A0" w14:textId="77777777" w:rsidR="00C33278" w:rsidRDefault="00F01FAB">
      <w:pPr>
        <w:spacing w:line="360" w:lineRule="auto"/>
      </w:pPr>
      <w:r>
        <w:rPr>
          <w:noProof/>
        </w:rPr>
        <w:drawing>
          <wp:inline distT="0" distB="0" distL="0" distR="0" wp14:anchorId="0629C2D0" wp14:editId="0B2353B9">
            <wp:extent cx="5730240" cy="5737860"/>
            <wp:effectExtent l="0" t="0" r="0" b="0"/>
            <wp:docPr id="1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5737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B8F3C5" w14:textId="77777777" w:rsidR="00C33278" w:rsidRDefault="00F01FAB">
      <w:pPr>
        <w:spacing w:line="360" w:lineRule="auto"/>
        <w:jc w:val="center"/>
      </w:pPr>
      <w:r>
        <w:rPr>
          <w:b/>
        </w:rPr>
        <w:t xml:space="preserve">Figure B1: </w:t>
      </w:r>
      <w:r>
        <w:t xml:space="preserve">Output raster from the Omnidirectional connectivity model </w:t>
      </w:r>
    </w:p>
    <w:p w14:paraId="356CB3D2" w14:textId="77777777" w:rsidR="00C33278" w:rsidRDefault="00F01FAB">
      <w:pPr>
        <w:spacing w:line="360" w:lineRule="auto"/>
        <w:jc w:val="center"/>
      </w:pPr>
      <w:r>
        <w:t>using the output of habitat suitability modelling</w:t>
      </w:r>
    </w:p>
    <w:p w14:paraId="263B3E4E" w14:textId="77777777" w:rsidR="00C33278" w:rsidRDefault="00C33278">
      <w:pPr>
        <w:spacing w:line="240" w:lineRule="auto"/>
      </w:pPr>
    </w:p>
    <w:p w14:paraId="49D206F5" w14:textId="77777777" w:rsidR="00C33278" w:rsidRDefault="00F01FAB">
      <w:pPr>
        <w:spacing w:line="240" w:lineRule="auto"/>
        <w:rPr>
          <w:b/>
        </w:rPr>
      </w:pPr>
      <w:r>
        <w:rPr>
          <w:b/>
        </w:rPr>
        <w:t>Appendix C: Conservation priority scores</w:t>
      </w:r>
    </w:p>
    <w:p w14:paraId="1961CFEE" w14:textId="77777777" w:rsidR="00C33278" w:rsidRDefault="00C33278">
      <w:pPr>
        <w:spacing w:line="240" w:lineRule="auto"/>
        <w:rPr>
          <w:b/>
        </w:rPr>
      </w:pPr>
    </w:p>
    <w:p w14:paraId="587298A7" w14:textId="77777777" w:rsidR="00C33278" w:rsidRDefault="00F01FAB">
      <w:pPr>
        <w:spacing w:line="360" w:lineRule="auto"/>
        <w:ind w:firstLine="720"/>
      </w:pPr>
      <w:r>
        <w:rPr>
          <w:rFonts w:ascii="Calibri" w:eastAsia="Calibri" w:hAnsi="Calibri" w:cs="Calibri"/>
          <w:sz w:val="24"/>
          <w:szCs w:val="24"/>
        </w:rPr>
        <w:t>Habitat suitability values where predictive accuracy was high (species 5 times more likely to be present than by chance) were used to calculate Conservation priori</w:t>
      </w:r>
      <w:r>
        <w:rPr>
          <w:rFonts w:ascii="Calibri" w:eastAsia="Calibri" w:hAnsi="Calibri" w:cs="Calibri"/>
          <w:sz w:val="24"/>
          <w:szCs w:val="24"/>
        </w:rPr>
        <w:t>ty scores to minimize false positives in further inferences. Hence, these optimal habitats were identified as areas with habitat suitability scores corresponding to P/E ratio values of 5 or more i.e., 0.44 in this case as shown in Fig. C1.</w:t>
      </w:r>
    </w:p>
    <w:p w14:paraId="3F572B8A" w14:textId="77777777" w:rsidR="00C33278" w:rsidRDefault="00F01FAB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654F8F7C" wp14:editId="3840797D">
            <wp:extent cx="5722620" cy="3817620"/>
            <wp:effectExtent l="0" t="0" r="0" b="0"/>
            <wp:docPr id="21" name="image3.jpg" descr="Chart, line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hart, line chart&#10;&#10;Description automatically generated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2620" cy="3817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2E240E" w14:textId="77777777" w:rsidR="00C33278" w:rsidRDefault="00F01FAB">
      <w:pPr>
        <w:spacing w:line="360" w:lineRule="auto"/>
      </w:pPr>
      <w:r>
        <w:rPr>
          <w:b/>
        </w:rPr>
        <w:t>Figure C1:</w:t>
      </w:r>
      <w:r>
        <w:t xml:space="preserve">  P/</w:t>
      </w:r>
      <w:r>
        <w:t>E ratio vs Habitat suitability for selected model. Horizontal line represents the 5x cut-off value i.e., habitat suitability score of 0.44</w:t>
      </w:r>
    </w:p>
    <w:p w14:paraId="1B29D52D" w14:textId="77777777" w:rsidR="00C33278" w:rsidRDefault="00C33278">
      <w:pPr>
        <w:spacing w:line="360" w:lineRule="auto"/>
      </w:pPr>
    </w:p>
    <w:p w14:paraId="2EE3D9A5" w14:textId="77777777" w:rsidR="00C33278" w:rsidRDefault="00F01FAB">
      <w:pPr>
        <w:spacing w:line="240" w:lineRule="auto"/>
        <w:rPr>
          <w:b/>
        </w:rPr>
      </w:pPr>
      <w:r>
        <w:rPr>
          <w:b/>
        </w:rPr>
        <w:t>Appendix D: Conservation likelihood scores</w:t>
      </w:r>
    </w:p>
    <w:p w14:paraId="76214E8D" w14:textId="77777777" w:rsidR="00C33278" w:rsidRDefault="00C33278">
      <w:pPr>
        <w:spacing w:line="240" w:lineRule="auto"/>
        <w:rPr>
          <w:b/>
        </w:rPr>
      </w:pPr>
    </w:p>
    <w:p w14:paraId="76CF7F97" w14:textId="77777777" w:rsidR="00C33278" w:rsidRDefault="00F01FAB">
      <w:pPr>
        <w:spacing w:line="360" w:lineRule="auto"/>
      </w:pPr>
      <w:r>
        <w:rPr>
          <w:b/>
        </w:rPr>
        <w:t>Table D1:</w:t>
      </w:r>
      <w:r>
        <w:t xml:space="preserve"> Data sources for socio-political variables used to estimate Co</w:t>
      </w:r>
      <w:r>
        <w:t>nservation likelihood scores</w:t>
      </w:r>
    </w:p>
    <w:tbl>
      <w:tblPr>
        <w:tblStyle w:val="af0"/>
        <w:tblW w:w="8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5355"/>
      </w:tblGrid>
      <w:tr w:rsidR="00C33278" w14:paraId="2FDFBEB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EB42D" w14:textId="77777777" w:rsidR="00C33278" w:rsidRDefault="00F01FA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Socio-political variable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2E09C" w14:textId="77777777" w:rsidR="00C33278" w:rsidRDefault="00F01FA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</w:tr>
      <w:tr w:rsidR="00C33278" w14:paraId="09C2BDE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3C6F3" w14:textId="77777777" w:rsidR="00C33278" w:rsidRDefault="00F01FAB">
            <w:pPr>
              <w:spacing w:line="360" w:lineRule="auto"/>
              <w:jc w:val="center"/>
            </w:pPr>
            <w:r>
              <w:t>State wise Forest Department budget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41DA9" w14:textId="77777777" w:rsidR="00C33278" w:rsidRDefault="00F01FAB">
            <w:pPr>
              <w:spacing w:line="360" w:lineRule="auto"/>
              <w:jc w:val="center"/>
            </w:pPr>
            <w:hyperlink r:id="rId15">
              <w:r>
                <w:rPr>
                  <w:color w:val="1155CC"/>
                  <w:u w:val="single"/>
                </w:rPr>
                <w:t>https://openbudgetsindia.org/dataset/sector-specific-indicators-of-state-expenditure</w:t>
              </w:r>
            </w:hyperlink>
          </w:p>
        </w:tc>
      </w:tr>
      <w:tr w:rsidR="00C33278" w14:paraId="79359F7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B2048" w14:textId="77777777" w:rsidR="00C33278" w:rsidRDefault="00F01FAB">
            <w:pPr>
              <w:spacing w:line="360" w:lineRule="auto"/>
              <w:jc w:val="center"/>
            </w:pPr>
            <w:r>
              <w:t>Gross Domestic Product (GDP)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21ED4" w14:textId="77777777" w:rsidR="00C33278" w:rsidRDefault="00F01FAB">
            <w:pPr>
              <w:spacing w:line="360" w:lineRule="auto"/>
              <w:jc w:val="center"/>
            </w:pPr>
            <w:hyperlink r:id="rId16">
              <w:r>
                <w:rPr>
                  <w:color w:val="1155CC"/>
                  <w:u w:val="single"/>
                </w:rPr>
                <w:t>https://www.rbi.org.in/Scripts/PublicationsView.aspx?id=19000</w:t>
              </w:r>
            </w:hyperlink>
          </w:p>
        </w:tc>
      </w:tr>
      <w:tr w:rsidR="00C33278" w14:paraId="5B5B03B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30953" w14:textId="77777777" w:rsidR="00C33278" w:rsidRDefault="00F01FAB">
            <w:pPr>
              <w:spacing w:line="360" w:lineRule="auto"/>
              <w:jc w:val="center"/>
            </w:pPr>
            <w:r>
              <w:t>State-wise fisher population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96315" w14:textId="77777777" w:rsidR="00C33278" w:rsidRDefault="00F01FAB">
            <w:pPr>
              <w:spacing w:line="360" w:lineRule="auto"/>
              <w:jc w:val="center"/>
            </w:pPr>
            <w:hyperlink r:id="rId17">
              <w:r>
                <w:rPr>
                  <w:color w:val="1155CC"/>
                  <w:u w:val="single"/>
                </w:rPr>
                <w:t>https://dof.gov.in/sites/default/files/20</w:t>
              </w:r>
              <w:r>
                <w:rPr>
                  <w:color w:val="1155CC"/>
                  <w:u w:val="single"/>
                </w:rPr>
                <w:t>21-02/Final_Book.pdf</w:t>
              </w:r>
            </w:hyperlink>
          </w:p>
        </w:tc>
      </w:tr>
    </w:tbl>
    <w:p w14:paraId="4DAAF460" w14:textId="77777777" w:rsidR="00C33278" w:rsidRDefault="00C33278">
      <w:pPr>
        <w:spacing w:line="360" w:lineRule="auto"/>
      </w:pPr>
    </w:p>
    <w:p w14:paraId="326DDFBE" w14:textId="77777777" w:rsidR="00C33278" w:rsidRDefault="00C33278">
      <w:pPr>
        <w:spacing w:line="360" w:lineRule="auto"/>
      </w:pPr>
    </w:p>
    <w:p w14:paraId="3C2D3FD6" w14:textId="77777777" w:rsidR="00C33278" w:rsidRDefault="00F01FAB">
      <w:pPr>
        <w:pStyle w:val="Heading2"/>
        <w:spacing w:line="360" w:lineRule="auto"/>
        <w:jc w:val="both"/>
        <w:rPr>
          <w:b/>
          <w:sz w:val="22"/>
          <w:szCs w:val="22"/>
          <w:highlight w:val="white"/>
        </w:rPr>
      </w:pPr>
      <w:bookmarkStart w:id="2" w:name="_heading=h.2et92p0" w:colFirst="0" w:colLast="0"/>
      <w:bookmarkEnd w:id="2"/>
      <w:r>
        <w:rPr>
          <w:b/>
          <w:sz w:val="22"/>
          <w:szCs w:val="22"/>
        </w:rPr>
        <w:lastRenderedPageBreak/>
        <w:t xml:space="preserve">Appendix E: Conservation Initiative </w:t>
      </w:r>
    </w:p>
    <w:p w14:paraId="2EF6B6FB" w14:textId="77777777" w:rsidR="00C33278" w:rsidRDefault="00F01FAB">
      <w:pPr>
        <w:spacing w:line="360" w:lineRule="auto"/>
      </w:pPr>
      <w:r>
        <w:rPr>
          <w:b/>
        </w:rPr>
        <w:t>Table E1:</w:t>
      </w:r>
      <w:r>
        <w:t xml:space="preserve"> </w:t>
      </w:r>
      <w:hyperlink r:id="rId18" w:anchor="gid=533174124">
        <w:r>
          <w:rPr>
            <w:color w:val="0000EE"/>
            <w:u w:val="single"/>
          </w:rPr>
          <w:t xml:space="preserve">List of ongoing research conservation efforts for the Fishing Cat in </w:t>
        </w:r>
        <w:r>
          <w:rPr>
            <w:color w:val="0000EE"/>
            <w:u w:val="single"/>
          </w:rPr>
          <w:t>India.xlsx</w:t>
        </w:r>
      </w:hyperlink>
    </w:p>
    <w:p w14:paraId="49D6848A" w14:textId="77777777" w:rsidR="00C33278" w:rsidRDefault="00C33278">
      <w:pPr>
        <w:spacing w:line="240" w:lineRule="auto"/>
      </w:pPr>
    </w:p>
    <w:p w14:paraId="45A7754E" w14:textId="77777777" w:rsidR="00C33278" w:rsidRDefault="00F01FA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>Appendix F: Sensitivity analysis</w:t>
      </w:r>
    </w:p>
    <w:p w14:paraId="444BFCA4" w14:textId="77777777" w:rsidR="00C33278" w:rsidRDefault="00C3327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27E81C" w14:textId="77777777" w:rsidR="00C33278" w:rsidRDefault="00F01F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t>To understand the effect of selecting various increment values or weights (for Conservation initiatives) and cut-off values (for Conservation priority and likelihood scores), on the resulting classification of districts for our blueprint, we conducted a se</w:t>
      </w:r>
      <w:r>
        <w:t>nsitivity analysis by varying the values of these inputs. The results from our analysis are provided in the table F1 below.</w:t>
      </w:r>
    </w:p>
    <w:p w14:paraId="40004D6B" w14:textId="77777777" w:rsidR="00C33278" w:rsidRDefault="00C33278">
      <w:pPr>
        <w:spacing w:line="360" w:lineRule="auto"/>
      </w:pPr>
    </w:p>
    <w:p w14:paraId="66A6D424" w14:textId="77777777" w:rsidR="00C33278" w:rsidRDefault="00F01FAB">
      <w:pPr>
        <w:spacing w:line="360" w:lineRule="auto"/>
      </w:pPr>
      <w:r>
        <w:rPr>
          <w:b/>
        </w:rPr>
        <w:t>Table F1:</w:t>
      </w:r>
      <w:r>
        <w:t xml:space="preserve"> Results of sensitivity analysis - The number of districts classified in each tier with different values of weights (for C</w:t>
      </w:r>
      <w:r>
        <w:t>onservation initiatives) and cut-off values (for Conservation priority and likelihood scores)</w:t>
      </w:r>
    </w:p>
    <w:tbl>
      <w:tblPr>
        <w:tblStyle w:val="af1"/>
        <w:tblW w:w="6005" w:type="dxa"/>
        <w:jc w:val="center"/>
        <w:tblLayout w:type="fixed"/>
        <w:tblLook w:val="0400" w:firstRow="0" w:lastRow="0" w:firstColumn="0" w:lastColumn="0" w:noHBand="0" w:noVBand="1"/>
      </w:tblPr>
      <w:tblGrid>
        <w:gridCol w:w="960"/>
        <w:gridCol w:w="1303"/>
        <w:gridCol w:w="862"/>
        <w:gridCol w:w="960"/>
        <w:gridCol w:w="960"/>
        <w:gridCol w:w="960"/>
      </w:tblGrid>
      <w:tr w:rsidR="00C33278" w14:paraId="553EF004" w14:textId="77777777">
        <w:trPr>
          <w:trHeight w:val="288"/>
          <w:jc w:val="center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553DA" w14:textId="77777777" w:rsidR="00C33278" w:rsidRDefault="00F01FAB">
            <w:pPr>
              <w:spacing w:line="240" w:lineRule="auto"/>
            </w:pPr>
            <w:r>
              <w:t>Weight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80EA5D1" w14:textId="77777777" w:rsidR="00C33278" w:rsidRDefault="00F01FAB">
            <w:pPr>
              <w:spacing w:line="240" w:lineRule="auto"/>
              <w:jc w:val="center"/>
            </w:pPr>
            <w:r>
              <w:t>Cut-off (Quantiles)</w:t>
            </w: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C11AE" w14:textId="77777777" w:rsidR="00C33278" w:rsidRDefault="00F01FAB">
            <w:pPr>
              <w:spacing w:line="240" w:lineRule="auto"/>
              <w:jc w:val="center"/>
            </w:pPr>
            <w:r>
              <w:t>Number of districts in</w:t>
            </w:r>
          </w:p>
        </w:tc>
      </w:tr>
      <w:tr w:rsidR="00C33278" w14:paraId="6F4D619C" w14:textId="77777777">
        <w:trPr>
          <w:trHeight w:val="288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A9EF2" w14:textId="77777777" w:rsidR="00C33278" w:rsidRDefault="00C33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3008D6B" w14:textId="77777777" w:rsidR="00C33278" w:rsidRDefault="00C33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E241B" w14:textId="77777777" w:rsidR="00C33278" w:rsidRDefault="00F01FAB">
            <w:pPr>
              <w:spacing w:line="240" w:lineRule="auto"/>
              <w:jc w:val="center"/>
            </w:pPr>
            <w:r>
              <w:t>Tier 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BD84F" w14:textId="77777777" w:rsidR="00C33278" w:rsidRDefault="00F01FAB">
            <w:pPr>
              <w:spacing w:line="240" w:lineRule="auto"/>
              <w:jc w:val="center"/>
            </w:pPr>
            <w:r>
              <w:t>Tier 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60086" w14:textId="77777777" w:rsidR="00C33278" w:rsidRDefault="00F01FAB">
            <w:pPr>
              <w:spacing w:line="240" w:lineRule="auto"/>
              <w:jc w:val="center"/>
            </w:pPr>
            <w:r>
              <w:t>Tier 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F0CDD" w14:textId="77777777" w:rsidR="00C33278" w:rsidRDefault="00F01FAB">
            <w:pPr>
              <w:spacing w:line="240" w:lineRule="auto"/>
              <w:jc w:val="center"/>
            </w:pPr>
            <w:r>
              <w:t>Tier 4</w:t>
            </w:r>
          </w:p>
        </w:tc>
      </w:tr>
      <w:tr w:rsidR="00C33278" w14:paraId="163105B3" w14:textId="7777777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68A19" w14:textId="77777777" w:rsidR="00C33278" w:rsidRDefault="00F01FAB">
            <w:pPr>
              <w:spacing w:line="240" w:lineRule="auto"/>
              <w:jc w:val="center"/>
            </w:pPr>
            <w:r>
              <w:t>0.5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8E44" w14:textId="77777777" w:rsidR="00C33278" w:rsidRDefault="00F01FAB">
            <w:pPr>
              <w:spacing w:line="240" w:lineRule="auto"/>
              <w:jc w:val="center"/>
            </w:pPr>
            <w:r>
              <w:t>0.25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A8E7D" w14:textId="77777777" w:rsidR="00C33278" w:rsidRDefault="00F01FAB">
            <w:pPr>
              <w:spacing w:line="240" w:lineRule="auto"/>
              <w:jc w:val="center"/>
            </w:pPr>
            <w: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90556" w14:textId="77777777" w:rsidR="00C33278" w:rsidRDefault="00F01FAB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E895C" w14:textId="77777777" w:rsidR="00C33278" w:rsidRDefault="00F01FAB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88C73" w14:textId="77777777" w:rsidR="00C33278" w:rsidRDefault="00F01FAB">
            <w:pPr>
              <w:spacing w:line="240" w:lineRule="auto"/>
              <w:jc w:val="center"/>
            </w:pPr>
            <w:r>
              <w:t>3</w:t>
            </w:r>
          </w:p>
        </w:tc>
      </w:tr>
      <w:tr w:rsidR="00C33278" w14:paraId="5CD00B6E" w14:textId="7777777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4697C" w14:textId="77777777" w:rsidR="00C33278" w:rsidRDefault="00F01FAB">
            <w:pPr>
              <w:spacing w:line="240" w:lineRule="auto"/>
              <w:jc w:val="center"/>
            </w:pPr>
            <w:r>
              <w:t>0.5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FA280" w14:textId="77777777" w:rsidR="00C33278" w:rsidRDefault="00F01FAB">
            <w:pPr>
              <w:spacing w:line="240" w:lineRule="auto"/>
              <w:jc w:val="center"/>
            </w:pPr>
            <w:r>
              <w:t>0.5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9C411" w14:textId="77777777" w:rsidR="00C33278" w:rsidRDefault="00F01FAB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3A987" w14:textId="77777777" w:rsidR="00C33278" w:rsidRDefault="00F01FAB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B6281" w14:textId="77777777" w:rsidR="00C33278" w:rsidRDefault="00F01FAB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ECD20" w14:textId="77777777" w:rsidR="00C33278" w:rsidRDefault="00F01FAB">
            <w:pPr>
              <w:spacing w:line="240" w:lineRule="auto"/>
              <w:jc w:val="center"/>
            </w:pPr>
            <w:r>
              <w:t>13</w:t>
            </w:r>
          </w:p>
        </w:tc>
      </w:tr>
      <w:tr w:rsidR="00C33278" w14:paraId="07F4741C" w14:textId="7777777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6DC1" w14:textId="77777777" w:rsidR="00C33278" w:rsidRDefault="00F01FAB">
            <w:pPr>
              <w:spacing w:line="240" w:lineRule="auto"/>
              <w:jc w:val="center"/>
            </w:pPr>
            <w:r>
              <w:t>0.5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64313" w14:textId="77777777" w:rsidR="00C33278" w:rsidRDefault="00F01FAB">
            <w:pPr>
              <w:spacing w:line="240" w:lineRule="auto"/>
              <w:jc w:val="center"/>
            </w:pPr>
            <w:r>
              <w:t>0.75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386C" w14:textId="77777777" w:rsidR="00C33278" w:rsidRDefault="00F01F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95F46" w14:textId="77777777" w:rsidR="00C33278" w:rsidRDefault="00F01FAB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8EAAE" w14:textId="77777777" w:rsidR="00C33278" w:rsidRDefault="00F01FAB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FDE6B" w14:textId="77777777" w:rsidR="00C33278" w:rsidRDefault="00F01FAB">
            <w:pPr>
              <w:spacing w:line="240" w:lineRule="auto"/>
              <w:jc w:val="center"/>
            </w:pPr>
            <w:r>
              <w:t>26</w:t>
            </w:r>
          </w:p>
        </w:tc>
      </w:tr>
      <w:tr w:rsidR="00C33278" w14:paraId="5658CC7B" w14:textId="7777777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7035A" w14:textId="77777777" w:rsidR="00C33278" w:rsidRDefault="00F01F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881D7" w14:textId="77777777" w:rsidR="00C33278" w:rsidRDefault="00F01FAB">
            <w:pPr>
              <w:spacing w:line="240" w:lineRule="auto"/>
              <w:jc w:val="center"/>
            </w:pPr>
            <w:r>
              <w:t>0.25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9EF65" w14:textId="77777777" w:rsidR="00C33278" w:rsidRDefault="00F01FAB">
            <w:pPr>
              <w:spacing w:line="240" w:lineRule="auto"/>
              <w:jc w:val="center"/>
            </w:pPr>
            <w: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1CACF" w14:textId="77777777" w:rsidR="00C33278" w:rsidRDefault="00F01FAB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4E3A" w14:textId="77777777" w:rsidR="00C33278" w:rsidRDefault="00F01FAB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BD78A" w14:textId="77777777" w:rsidR="00C33278" w:rsidRDefault="00F01FAB">
            <w:pPr>
              <w:spacing w:line="240" w:lineRule="auto"/>
              <w:jc w:val="center"/>
            </w:pPr>
            <w:r>
              <w:t>3</w:t>
            </w:r>
          </w:p>
        </w:tc>
      </w:tr>
      <w:tr w:rsidR="00C33278" w14:paraId="12015A63" w14:textId="7777777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748F" w14:textId="77777777" w:rsidR="00C33278" w:rsidRDefault="00F01F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95EAD" w14:textId="77777777" w:rsidR="00C33278" w:rsidRDefault="00F01FAB">
            <w:pPr>
              <w:spacing w:line="240" w:lineRule="auto"/>
              <w:jc w:val="center"/>
            </w:pPr>
            <w:r>
              <w:t>0.5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1ECB0" w14:textId="77777777" w:rsidR="00C33278" w:rsidRDefault="00F01FAB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1ED9C" w14:textId="77777777" w:rsidR="00C33278" w:rsidRDefault="00F01FAB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55310" w14:textId="77777777" w:rsidR="00C33278" w:rsidRDefault="00F01FAB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05B09" w14:textId="77777777" w:rsidR="00C33278" w:rsidRDefault="00F01FAB">
            <w:pPr>
              <w:spacing w:line="240" w:lineRule="auto"/>
              <w:jc w:val="center"/>
            </w:pPr>
            <w:r>
              <w:t>13</w:t>
            </w:r>
          </w:p>
        </w:tc>
      </w:tr>
      <w:tr w:rsidR="00C33278" w14:paraId="414818CA" w14:textId="7777777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553F1" w14:textId="77777777" w:rsidR="00C33278" w:rsidRDefault="00F01F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2256F" w14:textId="77777777" w:rsidR="00C33278" w:rsidRDefault="00F01FAB">
            <w:pPr>
              <w:spacing w:line="240" w:lineRule="auto"/>
              <w:jc w:val="center"/>
            </w:pPr>
            <w:r>
              <w:t>0.75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2E7D8" w14:textId="77777777" w:rsidR="00C33278" w:rsidRDefault="00F01FAB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51F1D" w14:textId="77777777" w:rsidR="00C33278" w:rsidRDefault="00F01FAB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7669E" w14:textId="77777777" w:rsidR="00C33278" w:rsidRDefault="00F01FAB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86F06" w14:textId="77777777" w:rsidR="00C33278" w:rsidRDefault="00F01FAB">
            <w:pPr>
              <w:spacing w:line="240" w:lineRule="auto"/>
              <w:jc w:val="center"/>
            </w:pPr>
            <w:r>
              <w:t>26</w:t>
            </w:r>
          </w:p>
        </w:tc>
      </w:tr>
      <w:tr w:rsidR="00C33278" w14:paraId="55EF4AE5" w14:textId="7777777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BCE89" w14:textId="77777777" w:rsidR="00C33278" w:rsidRDefault="00F01FA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F0661" w14:textId="77777777" w:rsidR="00C33278" w:rsidRDefault="00F01FAB">
            <w:pPr>
              <w:spacing w:line="240" w:lineRule="auto"/>
              <w:jc w:val="center"/>
            </w:pPr>
            <w:r>
              <w:t>0.25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4A24F" w14:textId="77777777" w:rsidR="00C33278" w:rsidRDefault="00F01FAB">
            <w:pPr>
              <w:spacing w:line="240" w:lineRule="auto"/>
              <w:jc w:val="center"/>
            </w:pPr>
            <w: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3A031" w14:textId="77777777" w:rsidR="00C33278" w:rsidRDefault="00F01FAB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55C6E" w14:textId="77777777" w:rsidR="00C33278" w:rsidRDefault="00F01FAB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7BFA0" w14:textId="77777777" w:rsidR="00C33278" w:rsidRDefault="00F01FAB">
            <w:pPr>
              <w:spacing w:line="240" w:lineRule="auto"/>
              <w:jc w:val="center"/>
            </w:pPr>
            <w:r>
              <w:t>3</w:t>
            </w:r>
          </w:p>
        </w:tc>
      </w:tr>
      <w:tr w:rsidR="00C33278" w14:paraId="3C673650" w14:textId="7777777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91113" w14:textId="77777777" w:rsidR="00C33278" w:rsidRDefault="00F01FA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0F698" w14:textId="77777777" w:rsidR="00C33278" w:rsidRDefault="00F01FAB">
            <w:pPr>
              <w:spacing w:line="240" w:lineRule="auto"/>
              <w:jc w:val="center"/>
            </w:pPr>
            <w:r>
              <w:t>0.5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10641" w14:textId="77777777" w:rsidR="00C33278" w:rsidRDefault="00F01FAB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9A7B4" w14:textId="77777777" w:rsidR="00C33278" w:rsidRDefault="00F01FAB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39827" w14:textId="77777777" w:rsidR="00C33278" w:rsidRDefault="00F01FAB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1026E" w14:textId="77777777" w:rsidR="00C33278" w:rsidRDefault="00F01FAB">
            <w:pPr>
              <w:spacing w:line="240" w:lineRule="auto"/>
              <w:jc w:val="center"/>
            </w:pPr>
            <w:r>
              <w:t>13</w:t>
            </w:r>
          </w:p>
        </w:tc>
      </w:tr>
      <w:tr w:rsidR="00C33278" w14:paraId="0852AEDB" w14:textId="7777777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B7ABF" w14:textId="77777777" w:rsidR="00C33278" w:rsidRDefault="00F01FA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0C981" w14:textId="77777777" w:rsidR="00C33278" w:rsidRDefault="00F01FAB">
            <w:pPr>
              <w:spacing w:line="240" w:lineRule="auto"/>
              <w:jc w:val="center"/>
            </w:pPr>
            <w:r>
              <w:t>0.75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F24B8" w14:textId="77777777" w:rsidR="00C33278" w:rsidRDefault="00F01FAB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06BED" w14:textId="77777777" w:rsidR="00C33278" w:rsidRDefault="00F01FAB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94F12" w14:textId="77777777" w:rsidR="00C33278" w:rsidRDefault="00F01FAB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3590" w14:textId="77777777" w:rsidR="00C33278" w:rsidRDefault="00F01FAB">
            <w:pPr>
              <w:spacing w:line="240" w:lineRule="auto"/>
              <w:jc w:val="center"/>
            </w:pPr>
            <w:r>
              <w:t>26</w:t>
            </w:r>
          </w:p>
        </w:tc>
      </w:tr>
    </w:tbl>
    <w:p w14:paraId="670ABD5B" w14:textId="77777777" w:rsidR="00C33278" w:rsidRDefault="00C33278">
      <w:pPr>
        <w:spacing w:line="360" w:lineRule="auto"/>
      </w:pPr>
    </w:p>
    <w:p w14:paraId="220F35EF" w14:textId="77777777" w:rsidR="00C33278" w:rsidRDefault="00F01FAB">
      <w:pPr>
        <w:spacing w:line="360" w:lineRule="auto"/>
        <w:ind w:firstLine="720"/>
      </w:pPr>
      <w:r>
        <w:t>Increasing the weights assigned to Conservation initiatives had no significant impact and only displaced one district from tier 1 to tier 2 (when changed from 0.5 to 1). Increasing cut offs for conservation priority and likelihood scores however significan</w:t>
      </w:r>
      <w:r>
        <w:t>tly affected district classification. Selecting extreme quantiles (1</w:t>
      </w:r>
      <w:r>
        <w:rPr>
          <w:vertAlign w:val="superscript"/>
        </w:rPr>
        <w:t>st</w:t>
      </w:r>
      <w:r>
        <w:t xml:space="preserve"> and 3</w:t>
      </w:r>
      <w:r>
        <w:rPr>
          <w:vertAlign w:val="superscript"/>
        </w:rPr>
        <w:t>rd</w:t>
      </w:r>
      <w:r>
        <w:t xml:space="preserve"> quartile) resulted in extreme shifts in classification, and so we decided to use the median value for district classification and further inference.</w:t>
      </w:r>
    </w:p>
    <w:p w14:paraId="3C94DE8D" w14:textId="77777777" w:rsidR="00C33278" w:rsidRDefault="00C33278">
      <w:pPr>
        <w:spacing w:line="360" w:lineRule="auto"/>
      </w:pPr>
    </w:p>
    <w:p w14:paraId="362AA110" w14:textId="77777777" w:rsidR="00C33278" w:rsidRDefault="00F01FAB">
      <w:pPr>
        <w:spacing w:line="360" w:lineRule="auto"/>
        <w:rPr>
          <w:b/>
        </w:rPr>
      </w:pPr>
      <w:r>
        <w:rPr>
          <w:b/>
        </w:rPr>
        <w:t>Appendix G: District-wise c</w:t>
      </w:r>
      <w:r>
        <w:rPr>
          <w:b/>
        </w:rPr>
        <w:t>alculated scores of all indices</w:t>
      </w:r>
    </w:p>
    <w:p w14:paraId="1C71B47D" w14:textId="77777777" w:rsidR="00C33278" w:rsidRDefault="00F01FAB">
      <w:pPr>
        <w:spacing w:line="360" w:lineRule="auto"/>
        <w:ind w:firstLine="720"/>
      </w:pPr>
      <w:r>
        <w:t xml:space="preserve">Table G1: </w:t>
      </w:r>
      <w:hyperlink r:id="rId19">
        <w:r>
          <w:rPr>
            <w:color w:val="0563C1"/>
            <w:u w:val="single"/>
          </w:rPr>
          <w:t>Scores of Conservation priority and Conservation likelihood</w:t>
        </w:r>
        <w:r>
          <w:rPr>
            <w:color w:val="0563C1"/>
            <w:u w:val="single"/>
          </w:rPr>
          <w:t>, presence of Conservation Initiative, and identified survey landscapes</w:t>
        </w:r>
      </w:hyperlink>
    </w:p>
    <w:sectPr w:rsidR="00C3327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278"/>
    <w:rsid w:val="00C33278"/>
    <w:rsid w:val="00F0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74AAA"/>
  <w15:docId w15:val="{5A4E4FB0-65E9-48EE-B6E0-536DDD08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EA3"/>
  </w:style>
  <w:style w:type="paragraph" w:styleId="Heading1">
    <w:name w:val="heading 1"/>
    <w:basedOn w:val="Normal"/>
    <w:next w:val="Normal"/>
    <w:link w:val="Heading1Char"/>
    <w:uiPriority w:val="9"/>
    <w:qFormat/>
    <w:rsid w:val="00257EA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EA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57EA3"/>
    <w:rPr>
      <w:rFonts w:ascii="Arial" w:eastAsia="Arial" w:hAnsi="Arial" w:cs="Arial"/>
      <w:sz w:val="40"/>
      <w:szCs w:val="40"/>
      <w:lang w:val="en-GB" w:eastAsia="en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257EA3"/>
    <w:rPr>
      <w:rFonts w:ascii="Arial" w:eastAsia="Arial" w:hAnsi="Arial" w:cs="Arial"/>
      <w:sz w:val="32"/>
      <w:szCs w:val="32"/>
      <w:lang w:val="en-GB" w:eastAsia="en-IN" w:bidi="hi-IN"/>
    </w:rPr>
  </w:style>
  <w:style w:type="paragraph" w:styleId="NormalWeb">
    <w:name w:val="Normal (Web)"/>
    <w:basedOn w:val="Normal"/>
    <w:uiPriority w:val="99"/>
    <w:semiHidden/>
    <w:unhideWhenUsed/>
    <w:rsid w:val="00B3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customStyle="1" w:styleId="apple-tab-span">
    <w:name w:val="apple-tab-span"/>
    <w:basedOn w:val="DefaultParagraphFont"/>
    <w:rsid w:val="00B3271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294F0F"/>
    <w:pPr>
      <w:spacing w:line="240" w:lineRule="auto"/>
    </w:pPr>
    <w:rPr>
      <w:rFonts w:cs="Mangal"/>
      <w:szCs w:val="20"/>
    </w:r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Mangal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715"/>
    <w:rPr>
      <w:rFonts w:cs="Mangal"/>
      <w:b/>
      <w:bCs/>
      <w:sz w:val="20"/>
      <w:szCs w:val="1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70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A77"/>
    <w:rPr>
      <w:color w:val="605E5C"/>
      <w:shd w:val="clear" w:color="auto" w:fill="E1DFDD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maps.github.io/glcnmo.html" TargetMode="External"/><Relationship Id="rId13" Type="http://schemas.openxmlformats.org/officeDocument/2006/relationships/image" Target="media/image3.jpg"/><Relationship Id="rId18" Type="http://schemas.openxmlformats.org/officeDocument/2006/relationships/hyperlink" Target="https://docs.google.com/spreadsheets/d/1FbCYfiK6T2Y78Gbn3FPcQwYmETxWzE6J/edi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ngdc.noaa.gov/mgg/topo/gltiles.html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dof.gov.in/sites/default/files/2021-02/Final_Book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bi.org.in/Scripts/PublicationsView.aspx?id=190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worldclim.org/data/bioclim.html" TargetMode="External"/><Relationship Id="rId11" Type="http://schemas.openxmlformats.org/officeDocument/2006/relationships/image" Target="media/image1.jpg"/><Relationship Id="rId5" Type="http://schemas.openxmlformats.org/officeDocument/2006/relationships/hyperlink" Target="https://docs.google.com/spreadsheets/d/1UjYf6rvA9Khg0NOI7fpSizsb5v54-Nd3/edit" TargetMode="External"/><Relationship Id="rId15" Type="http://schemas.openxmlformats.org/officeDocument/2006/relationships/hyperlink" Target="https://openbudgetsindia.org/dataset/sector-specific-indicators-of-state-expenditure" TargetMode="External"/><Relationship Id="rId10" Type="http://schemas.openxmlformats.org/officeDocument/2006/relationships/hyperlink" Target="https://cgiarcsi.community/data/global-high-resolution-soil-water-balance/" TargetMode="External"/><Relationship Id="rId19" Type="http://schemas.openxmlformats.org/officeDocument/2006/relationships/hyperlink" Target="https://docs.google.com/spreadsheets/d/1c_ff4uk_LDqKCVGrsir-QBVtHQukWEVB/edit?usp=sharing&amp;ouid=114083341302231575404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dac.ciesin.columbia.edu/data/set/gpw-v4-population-density-adjusted-to-2015-unwpp-country-totals-rev11/data-download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Er0GWVzCWHzY0RQapauxal3jPA==">AMUW2mUL5x5rqiZuUAIQRvRajr1Gu2YzPEjPrJx+CtP5u2syCydXgxCfLBc/7OsFBfftVy5uYftD0u4vuV7CFIf0ehbVD/ay51+/tEWtmwBr0zlTqfVq6bjFgA8+u0VcjeXG/rhaCwjmLOXCCKT2JgIFTmFLry/+Mg==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1010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Samad</dc:creator>
  <cp:lastModifiedBy>Divyashree Rana</cp:lastModifiedBy>
  <cp:revision>2</cp:revision>
  <dcterms:created xsi:type="dcterms:W3CDTF">2021-12-29T05:58:00Z</dcterms:created>
  <dcterms:modified xsi:type="dcterms:W3CDTF">2022-06-19T03:58:00Z</dcterms:modified>
</cp:coreProperties>
</file>