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25E3E" w14:textId="4965911B" w:rsidR="00EC5E8F" w:rsidRPr="00720CD2" w:rsidRDefault="00EC5E8F" w:rsidP="002E7B13">
      <w:pPr>
        <w:spacing w:line="480" w:lineRule="auto"/>
        <w:rPr>
          <w:bCs/>
        </w:rPr>
      </w:pPr>
      <w:r w:rsidRPr="00720CD2">
        <w:rPr>
          <w:bCs/>
        </w:rPr>
        <w:t>SUPP</w:t>
      </w:r>
      <w:r w:rsidR="00081963" w:rsidRPr="00720CD2">
        <w:rPr>
          <w:bCs/>
        </w:rPr>
        <w:t>ORTING</w:t>
      </w:r>
      <w:r w:rsidRPr="00720CD2">
        <w:rPr>
          <w:bCs/>
        </w:rPr>
        <w:t xml:space="preserve"> </w:t>
      </w:r>
      <w:r w:rsidR="00454DF8" w:rsidRPr="00720CD2">
        <w:rPr>
          <w:bCs/>
        </w:rPr>
        <w:t>INFORMATION</w:t>
      </w:r>
    </w:p>
    <w:p w14:paraId="15938FB8" w14:textId="77777777" w:rsidR="00857DD2" w:rsidRDefault="00857DD2" w:rsidP="00857DD2">
      <w:pPr>
        <w:spacing w:line="480" w:lineRule="auto"/>
        <w:rPr>
          <w:b/>
          <w:color w:val="000000" w:themeColor="text1"/>
        </w:rPr>
      </w:pPr>
    </w:p>
    <w:p w14:paraId="4F6D17A0" w14:textId="34799704" w:rsidR="00857DD2" w:rsidRPr="00720CD2" w:rsidRDefault="00857DD2" w:rsidP="00857DD2">
      <w:pPr>
        <w:spacing w:line="480" w:lineRule="auto"/>
        <w:rPr>
          <w:b/>
          <w:color w:val="000000" w:themeColor="text1"/>
          <w:sz w:val="28"/>
          <w:szCs w:val="28"/>
        </w:rPr>
      </w:pPr>
      <w:r w:rsidRPr="00720CD2">
        <w:rPr>
          <w:b/>
          <w:color w:val="000000" w:themeColor="text1"/>
          <w:sz w:val="28"/>
          <w:szCs w:val="28"/>
        </w:rPr>
        <w:t xml:space="preserve">Roost site use by Great </w:t>
      </w:r>
      <w:r w:rsidRPr="00720CD2">
        <w:rPr>
          <w:color w:val="000000" w:themeColor="text1"/>
          <w:sz w:val="28"/>
          <w:szCs w:val="28"/>
        </w:rPr>
        <w:t>(</w:t>
      </w:r>
      <w:proofErr w:type="spellStart"/>
      <w:r w:rsidRPr="00720CD2">
        <w:rPr>
          <w:i/>
          <w:color w:val="000000" w:themeColor="text1"/>
          <w:sz w:val="28"/>
          <w:szCs w:val="28"/>
        </w:rPr>
        <w:t>Buceros</w:t>
      </w:r>
      <w:proofErr w:type="spellEnd"/>
      <w:r w:rsidRPr="00720CD2">
        <w:rPr>
          <w:i/>
          <w:color w:val="000000" w:themeColor="text1"/>
          <w:sz w:val="28"/>
          <w:szCs w:val="28"/>
        </w:rPr>
        <w:t xml:space="preserve"> </w:t>
      </w:r>
      <w:proofErr w:type="spellStart"/>
      <w:r w:rsidRPr="00720CD2">
        <w:rPr>
          <w:i/>
          <w:color w:val="000000" w:themeColor="text1"/>
          <w:sz w:val="28"/>
          <w:szCs w:val="28"/>
        </w:rPr>
        <w:t>bicornis</w:t>
      </w:r>
      <w:proofErr w:type="spellEnd"/>
      <w:r w:rsidRPr="00720CD2">
        <w:rPr>
          <w:color w:val="000000" w:themeColor="text1"/>
          <w:sz w:val="28"/>
          <w:szCs w:val="28"/>
        </w:rPr>
        <w:t>)</w:t>
      </w:r>
      <w:r w:rsidRPr="00720CD2">
        <w:rPr>
          <w:b/>
          <w:color w:val="000000" w:themeColor="text1"/>
          <w:sz w:val="28"/>
          <w:szCs w:val="28"/>
        </w:rPr>
        <w:t xml:space="preserve"> and Wreathed </w:t>
      </w:r>
      <w:r w:rsidRPr="00720CD2">
        <w:rPr>
          <w:color w:val="000000" w:themeColor="text1"/>
          <w:sz w:val="28"/>
          <w:szCs w:val="28"/>
        </w:rPr>
        <w:t>(</w:t>
      </w:r>
      <w:proofErr w:type="spellStart"/>
      <w:r w:rsidRPr="00720CD2">
        <w:rPr>
          <w:i/>
          <w:color w:val="000000" w:themeColor="text1"/>
          <w:sz w:val="28"/>
          <w:szCs w:val="28"/>
        </w:rPr>
        <w:t>Rhyticeros</w:t>
      </w:r>
      <w:proofErr w:type="spellEnd"/>
      <w:r w:rsidRPr="00720CD2">
        <w:rPr>
          <w:i/>
          <w:color w:val="000000" w:themeColor="text1"/>
          <w:sz w:val="28"/>
          <w:szCs w:val="28"/>
        </w:rPr>
        <w:t xml:space="preserve"> undulatus</w:t>
      </w:r>
      <w:r w:rsidRPr="00720CD2">
        <w:rPr>
          <w:color w:val="000000" w:themeColor="text1"/>
          <w:sz w:val="28"/>
          <w:szCs w:val="28"/>
        </w:rPr>
        <w:t xml:space="preserve">) </w:t>
      </w:r>
      <w:r w:rsidRPr="00720CD2">
        <w:rPr>
          <w:b/>
          <w:color w:val="000000" w:themeColor="text1"/>
          <w:sz w:val="28"/>
          <w:szCs w:val="28"/>
        </w:rPr>
        <w:t>Hornbill</w:t>
      </w:r>
      <w:r w:rsidRPr="00720CD2">
        <w:rPr>
          <w:i/>
          <w:color w:val="000000" w:themeColor="text1"/>
          <w:sz w:val="28"/>
          <w:szCs w:val="28"/>
        </w:rPr>
        <w:t xml:space="preserve"> </w:t>
      </w:r>
      <w:r w:rsidRPr="00720CD2">
        <w:rPr>
          <w:b/>
          <w:color w:val="000000" w:themeColor="text1"/>
          <w:sz w:val="28"/>
          <w:szCs w:val="28"/>
        </w:rPr>
        <w:t>and its implications for seed dispersal</w:t>
      </w:r>
    </w:p>
    <w:p w14:paraId="37A34D9E" w14:textId="77777777" w:rsidR="00857DD2" w:rsidRPr="004B04E2" w:rsidRDefault="00857DD2" w:rsidP="00857DD2">
      <w:pPr>
        <w:spacing w:line="480" w:lineRule="auto"/>
        <w:rPr>
          <w:color w:val="000000" w:themeColor="text1"/>
        </w:rPr>
      </w:pPr>
    </w:p>
    <w:p w14:paraId="0771501D" w14:textId="66B3B387" w:rsidR="00857DD2" w:rsidRPr="004B04E2" w:rsidRDefault="00857DD2" w:rsidP="00857DD2">
      <w:pPr>
        <w:spacing w:line="480" w:lineRule="auto"/>
        <w:rPr>
          <w:b/>
          <w:color w:val="000000" w:themeColor="text1"/>
        </w:rPr>
      </w:pPr>
      <w:r w:rsidRPr="004B04E2">
        <w:rPr>
          <w:b/>
          <w:color w:val="000000" w:themeColor="text1"/>
        </w:rPr>
        <w:t xml:space="preserve">Rohit </w:t>
      </w:r>
      <w:proofErr w:type="spellStart"/>
      <w:r w:rsidRPr="004B04E2">
        <w:rPr>
          <w:b/>
          <w:color w:val="000000" w:themeColor="text1"/>
        </w:rPr>
        <w:t>Naniwadekar</w:t>
      </w:r>
      <w:proofErr w:type="spellEnd"/>
      <w:r w:rsidRPr="004B04E2">
        <w:rPr>
          <w:b/>
          <w:color w:val="000000" w:themeColor="text1"/>
        </w:rPr>
        <w:t xml:space="preserve">, Akanksha Rathore, </w:t>
      </w:r>
      <w:proofErr w:type="spellStart"/>
      <w:r w:rsidRPr="004B04E2">
        <w:rPr>
          <w:b/>
          <w:color w:val="000000" w:themeColor="text1"/>
        </w:rPr>
        <w:t>Ushma</w:t>
      </w:r>
      <w:proofErr w:type="spellEnd"/>
      <w:r w:rsidRPr="004B04E2">
        <w:rPr>
          <w:b/>
          <w:color w:val="000000" w:themeColor="text1"/>
        </w:rPr>
        <w:t xml:space="preserve"> Shukla </w:t>
      </w:r>
      <w:r w:rsidRPr="004B04E2">
        <w:rPr>
          <w:color w:val="000000" w:themeColor="text1"/>
        </w:rPr>
        <w:t>and</w:t>
      </w:r>
      <w:r w:rsidRPr="004B04E2">
        <w:rPr>
          <w:b/>
          <w:color w:val="000000" w:themeColor="text1"/>
        </w:rPr>
        <w:t xml:space="preserve"> </w:t>
      </w:r>
      <w:proofErr w:type="spellStart"/>
      <w:r w:rsidRPr="004B04E2">
        <w:rPr>
          <w:b/>
          <w:color w:val="000000" w:themeColor="text1"/>
        </w:rPr>
        <w:t>Aparajita</w:t>
      </w:r>
      <w:proofErr w:type="spellEnd"/>
      <w:r w:rsidRPr="004B04E2">
        <w:rPr>
          <w:b/>
          <w:color w:val="000000" w:themeColor="text1"/>
        </w:rPr>
        <w:t xml:space="preserve"> Datta </w:t>
      </w:r>
    </w:p>
    <w:p w14:paraId="08D6BC65" w14:textId="77777777" w:rsidR="00454DF8" w:rsidRPr="0042138B" w:rsidRDefault="00454DF8" w:rsidP="002E7B13">
      <w:pPr>
        <w:spacing w:line="480" w:lineRule="auto"/>
        <w:rPr>
          <w:b/>
        </w:rPr>
      </w:pPr>
    </w:p>
    <w:p w14:paraId="3709E165" w14:textId="10F18E5E" w:rsidR="00CB4008" w:rsidRPr="0042138B" w:rsidRDefault="00CB4008" w:rsidP="002E7B13">
      <w:pPr>
        <w:spacing w:line="480" w:lineRule="auto"/>
        <w:rPr>
          <w:b/>
        </w:rPr>
      </w:pPr>
      <w:r w:rsidRPr="0042138B">
        <w:rPr>
          <w:b/>
        </w:rPr>
        <w:t xml:space="preserve">Study Area: </w:t>
      </w:r>
    </w:p>
    <w:p w14:paraId="1DEF6120" w14:textId="71AC3C04" w:rsidR="00CB4008" w:rsidRDefault="00CB4008" w:rsidP="002E7B13">
      <w:pPr>
        <w:spacing w:line="480" w:lineRule="auto"/>
      </w:pPr>
      <w:r w:rsidRPr="002E7B13">
        <w:t xml:space="preserve">The study was carried out in </w:t>
      </w:r>
      <w:proofErr w:type="spellStart"/>
      <w:r w:rsidRPr="002E7B13">
        <w:t>Pakke</w:t>
      </w:r>
      <w:proofErr w:type="spellEnd"/>
      <w:r w:rsidRPr="002E7B13">
        <w:t xml:space="preserve"> Tiger Reserve. The elevation of </w:t>
      </w:r>
      <w:proofErr w:type="spellStart"/>
      <w:r w:rsidRPr="002E7B13">
        <w:t>Pakke</w:t>
      </w:r>
      <w:proofErr w:type="spellEnd"/>
      <w:r w:rsidRPr="002E7B13">
        <w:t xml:space="preserve"> Tiger Reserve ranges from 100 – 1</w:t>
      </w:r>
      <w:r w:rsidR="00D4674E">
        <w:t>,</w:t>
      </w:r>
      <w:r w:rsidRPr="002E7B13">
        <w:t xml:space="preserve">800 m </w:t>
      </w:r>
      <w:proofErr w:type="spellStart"/>
      <w:r w:rsidR="00D4674E">
        <w:t>a.s.l</w:t>
      </w:r>
      <w:proofErr w:type="spellEnd"/>
      <w:r w:rsidRPr="002E7B13">
        <w:t>. The average annual rainfall is 2</w:t>
      </w:r>
      <w:r w:rsidR="00D4674E">
        <w:t>,</w:t>
      </w:r>
      <w:r w:rsidRPr="002E7B13">
        <w:t>500 mm. The temperature varies between 18</w:t>
      </w:r>
      <w:r w:rsidRPr="002E7B13">
        <w:rPr>
          <w:i/>
          <w:iCs/>
        </w:rPr>
        <w:t>°</w:t>
      </w:r>
      <w:r w:rsidRPr="002E7B13">
        <w:rPr>
          <w:iCs/>
        </w:rPr>
        <w:t xml:space="preserve">C to </w:t>
      </w:r>
      <w:r w:rsidRPr="002E7B13">
        <w:t>29</w:t>
      </w:r>
      <w:r w:rsidRPr="002E7B13">
        <w:rPr>
          <w:i/>
          <w:iCs/>
        </w:rPr>
        <w:t>°</w:t>
      </w:r>
      <w:r w:rsidRPr="002E7B13">
        <w:t xml:space="preserve">C. The intensive study area in </w:t>
      </w:r>
      <w:proofErr w:type="spellStart"/>
      <w:r w:rsidRPr="002E7B13">
        <w:t>Pakke</w:t>
      </w:r>
      <w:proofErr w:type="spellEnd"/>
      <w:r w:rsidRPr="002E7B13">
        <w:t xml:space="preserve"> was in the low elevation forests in the south-eastern portion of the Park near the </w:t>
      </w:r>
      <w:proofErr w:type="spellStart"/>
      <w:r w:rsidRPr="002E7B13">
        <w:t>Seijosa</w:t>
      </w:r>
      <w:proofErr w:type="spellEnd"/>
      <w:r w:rsidRPr="002E7B13">
        <w:t xml:space="preserve"> town. The vegetation in the area is classified as Assam Valley tropical semi-evergreen forest. Some of the common trees in the area include </w:t>
      </w:r>
      <w:proofErr w:type="spellStart"/>
      <w:r w:rsidRPr="002E7B13">
        <w:rPr>
          <w:i/>
        </w:rPr>
        <w:t>Tetrameles</w:t>
      </w:r>
      <w:proofErr w:type="spellEnd"/>
      <w:r w:rsidRPr="002E7B13">
        <w:rPr>
          <w:i/>
        </w:rPr>
        <w:t xml:space="preserve"> </w:t>
      </w:r>
      <w:proofErr w:type="spellStart"/>
      <w:r w:rsidRPr="002E7B13">
        <w:rPr>
          <w:i/>
        </w:rPr>
        <w:t>nudiflora</w:t>
      </w:r>
      <w:proofErr w:type="spellEnd"/>
      <w:r w:rsidRPr="002E7B13">
        <w:t xml:space="preserve">, </w:t>
      </w:r>
      <w:r w:rsidRPr="002E7B13">
        <w:rPr>
          <w:i/>
        </w:rPr>
        <w:t>Ailanthus grandis</w:t>
      </w:r>
      <w:r w:rsidRPr="002E7B13">
        <w:t>,</w:t>
      </w:r>
      <w:r w:rsidRPr="002E7B13">
        <w:rPr>
          <w:i/>
        </w:rPr>
        <w:t xml:space="preserve"> </w:t>
      </w:r>
      <w:proofErr w:type="spellStart"/>
      <w:r w:rsidRPr="002E7B13">
        <w:rPr>
          <w:i/>
        </w:rPr>
        <w:t>Polyalthia</w:t>
      </w:r>
      <w:proofErr w:type="spellEnd"/>
      <w:r w:rsidRPr="002E7B13">
        <w:rPr>
          <w:i/>
        </w:rPr>
        <w:t xml:space="preserve"> </w:t>
      </w:r>
      <w:proofErr w:type="spellStart"/>
      <w:r w:rsidRPr="002E7B13">
        <w:rPr>
          <w:i/>
        </w:rPr>
        <w:t>simiarum</w:t>
      </w:r>
      <w:proofErr w:type="spellEnd"/>
      <w:r w:rsidRPr="002E7B13">
        <w:t xml:space="preserve">, </w:t>
      </w:r>
      <w:proofErr w:type="spellStart"/>
      <w:r w:rsidRPr="002E7B13">
        <w:rPr>
          <w:i/>
        </w:rPr>
        <w:t>Pterospermum</w:t>
      </w:r>
      <w:proofErr w:type="spellEnd"/>
      <w:r w:rsidRPr="002E7B13">
        <w:rPr>
          <w:i/>
        </w:rPr>
        <w:t xml:space="preserve"> </w:t>
      </w:r>
      <w:proofErr w:type="spellStart"/>
      <w:r w:rsidRPr="002E7B13">
        <w:rPr>
          <w:i/>
        </w:rPr>
        <w:t>acerifolium</w:t>
      </w:r>
      <w:proofErr w:type="spellEnd"/>
      <w:r w:rsidRPr="002E7B13">
        <w:t xml:space="preserve">, </w:t>
      </w:r>
      <w:proofErr w:type="spellStart"/>
      <w:r w:rsidRPr="002E7B13">
        <w:rPr>
          <w:i/>
        </w:rPr>
        <w:t>Chisocheton</w:t>
      </w:r>
      <w:proofErr w:type="spellEnd"/>
      <w:r w:rsidRPr="002E7B13">
        <w:rPr>
          <w:i/>
        </w:rPr>
        <w:t xml:space="preserve"> </w:t>
      </w:r>
      <w:proofErr w:type="spellStart"/>
      <w:r w:rsidRPr="002E7B13">
        <w:rPr>
          <w:i/>
        </w:rPr>
        <w:t>cumingianus</w:t>
      </w:r>
      <w:proofErr w:type="spellEnd"/>
      <w:r w:rsidRPr="002E7B13">
        <w:t xml:space="preserve">, </w:t>
      </w:r>
      <w:r w:rsidRPr="002E7B13">
        <w:rPr>
          <w:i/>
        </w:rPr>
        <w:t xml:space="preserve">Sterculia </w:t>
      </w:r>
      <w:proofErr w:type="spellStart"/>
      <w:r w:rsidRPr="002E7B13">
        <w:rPr>
          <w:i/>
        </w:rPr>
        <w:t>alata</w:t>
      </w:r>
      <w:proofErr w:type="spellEnd"/>
      <w:r w:rsidRPr="002E7B13">
        <w:rPr>
          <w:i/>
        </w:rPr>
        <w:t xml:space="preserve"> </w:t>
      </w:r>
      <w:r w:rsidRPr="002E7B13">
        <w:t xml:space="preserve">and </w:t>
      </w:r>
      <w:proofErr w:type="spellStart"/>
      <w:r w:rsidRPr="002E7B13">
        <w:rPr>
          <w:i/>
        </w:rPr>
        <w:t>Duabanga</w:t>
      </w:r>
      <w:proofErr w:type="spellEnd"/>
      <w:r w:rsidRPr="002E7B13">
        <w:rPr>
          <w:i/>
        </w:rPr>
        <w:t xml:space="preserve"> grandiflora</w:t>
      </w:r>
      <w:r w:rsidRPr="002E7B13">
        <w:t xml:space="preserve">. All the trapping and tagging was conducted between the West Bank and Khari stretch of the park. </w:t>
      </w:r>
    </w:p>
    <w:p w14:paraId="7787576A" w14:textId="77777777" w:rsidR="00720CD2" w:rsidRPr="002E7B13" w:rsidRDefault="00720CD2" w:rsidP="002E7B13">
      <w:pPr>
        <w:spacing w:line="480" w:lineRule="auto"/>
      </w:pPr>
    </w:p>
    <w:p w14:paraId="6AC185C8" w14:textId="691A7510" w:rsidR="005F4A00" w:rsidRPr="0042138B" w:rsidRDefault="005F4A00" w:rsidP="002E7B13">
      <w:pPr>
        <w:spacing w:line="480" w:lineRule="auto"/>
        <w:rPr>
          <w:b/>
          <w:color w:val="000000" w:themeColor="text1"/>
        </w:rPr>
      </w:pPr>
      <w:r w:rsidRPr="0042138B">
        <w:rPr>
          <w:b/>
        </w:rPr>
        <w:t>Methods</w:t>
      </w:r>
      <w:r w:rsidRPr="0042138B">
        <w:rPr>
          <w:b/>
          <w:color w:val="000000" w:themeColor="text1"/>
        </w:rPr>
        <w:t>:</w:t>
      </w:r>
    </w:p>
    <w:p w14:paraId="79154E0F" w14:textId="03B30520" w:rsidR="005F4A00" w:rsidRPr="0035345F" w:rsidRDefault="005F4A00" w:rsidP="002E7B13">
      <w:pPr>
        <w:spacing w:line="480" w:lineRule="auto"/>
        <w:rPr>
          <w:color w:val="000000" w:themeColor="text1"/>
        </w:rPr>
      </w:pPr>
      <w:r w:rsidRPr="0035345F">
        <w:rPr>
          <w:color w:val="000000" w:themeColor="text1"/>
        </w:rPr>
        <w:t xml:space="preserve">The breeding season of hornbills is between March </w:t>
      </w:r>
      <w:r w:rsidR="00BA5D43" w:rsidRPr="0035345F">
        <w:rPr>
          <w:color w:val="000000" w:themeColor="text1"/>
        </w:rPr>
        <w:t xml:space="preserve">and </w:t>
      </w:r>
      <w:r w:rsidRPr="0035345F">
        <w:rPr>
          <w:color w:val="000000" w:themeColor="text1"/>
        </w:rPr>
        <w:t xml:space="preserve">August. We tagged three breeding males and two non-breeding males using canopy mounted mist nets following established methods </w:t>
      </w:r>
      <w:r w:rsidRPr="0035345F">
        <w:rPr>
          <w:color w:val="000000" w:themeColor="text1"/>
        </w:rPr>
        <w:fldChar w:fldCharType="begin"/>
      </w:r>
      <w:r w:rsidRPr="0035345F">
        <w:rPr>
          <w:color w:val="000000" w:themeColor="text1"/>
        </w:rPr>
        <w:instrText xml:space="preserve"> ADDIN ZOTERO_ITEM CSL_CITATION {"citationID":"9n0ehrcs","properties":{"formattedCitation":"(Keartumsom, Chimchome, Poonswad, Pattanavibool, &amp; Pongpattananurak, 2011; Lenz et al., 2011)","plainCitation":"(Keartumsom, Chimchome, Poonswad, Pattanavibool, &amp; Pongpattananurak, 2011; Lenz et al., 2011)","noteIndex":0},"citationItems":[{"id":802,"uris":["http://zotero.org/users/4905451/items/LNTL3U2G"],"uri":["http://zotero.org/users/4905451/items/LNTL3U2G"],"itemData":{"id":802,"type":"article-journal","container-title":"Journal of Wildlife in Thailand","journalAbbreviation":"J. Wildlife Thailand","page":"47-55","title":"Home range of Great Hornbill (Buceros bicornis Linnaeus, 1758) and Wreathed Hornbill (Rhyticeros undulatus (Shaw) 1881) in non-breeding season at Khao Yai National Park, Nakhon Ratchasima Province","volume":"18","author":[{"family":"Keartumsom","given":"Y"},{"family":"Chimchome","given":"Vijak"},{"family":"Poonswad","given":"Pilai"},{"family":"Pattanavibool","given":"A"},{"family":"Pongpattananurak","given":"N"}],"issued":{"date-parts":[["2011"]]}}},{"id":653,"uris":["http://zotero.org/users/4905451/items/2IPIDMKQ"],"uri":["http://zotero.org/users/4905451/items/2IPIDMKQ"],"itemData":{"id":653,"type":"article-journal","abstract":"Frugivorous birds provide important ecosystem services by transporting seeds of fleshy fruited plants. It has been assumed that seed-dispersal kernels generated by these animals are generally leptokurtic, resulting in little dispersal among habitat fragments. However, little is known about the seed-dispersal distribution generated by large frugivorous birds in fragmented landscapes. We investigated movement and seed-dispersal patterns of trumpeter hornbills (Bycanistes bucinator) in a fragmented landscape in South Africa. Novel GPS loggers provide high-quality location data without bias against recording long-distance movements. We found a very weakly bimodal seed-dispersal distribution with potential dispersal distances up to 14.5 km. Within forest, the seed-dispersal distribution was unimodal with an expected dispersal distance of 86 m. In the fragmented agricultural landscape, the distribution was strongly bimodal with peaks at 18 and 512 m. Our results demonstrate that seed-dispersal distributions differed when birds moved in different habitat types. Seed-dispersal distances in fragmented landscapes show that transport among habitat patches is more frequent than previously assumed, allowing plants to disperse among habitat patches and to track the changing climatic conditions.","container-title":"Proceedings of the Royal Society B","DOI":"10.1098/rspb.2010.2383","ISSN":"0962-8452, 1471-2954","issue":"1716","journalAbbreviation":"Proc. R. Soc. B","language":"en","note":"PMID: 21177686","page":"2257-2264","source":"rspb.royalsocietypublishing.org","title":"Seed-dispersal distributions by trumpeter hornbills in fragmented landscapes","volume":"278","author":[{"family":"Lenz","given":"Johanna"},{"family":"Fiedler","given":"Wolfgang"},{"family":"Caprano","given":"Tanja"},{"family":"Friedrichs","given":"Wolfgang"},{"family":"Gaese","given":"Bernhard H."},{"family":"Wikelski","given":"Martin"},{"family":"Böhning-Gaese","given":"Katrin"}],"issued":{"date-parts":[["2011"]]}}}],"schema":"https://github.com/citation-style-language/schema/raw/master/csl-citation.json"} </w:instrText>
      </w:r>
      <w:r w:rsidRPr="0035345F">
        <w:rPr>
          <w:color w:val="000000" w:themeColor="text1"/>
        </w:rPr>
        <w:fldChar w:fldCharType="separate"/>
      </w:r>
      <w:r w:rsidRPr="0035345F">
        <w:rPr>
          <w:noProof/>
          <w:color w:val="000000" w:themeColor="text1"/>
        </w:rPr>
        <w:t>(Keartumsom, Chimchome, Poonswad, Pattanavibool, &amp; Pongpattananurak, 2011; Lenz et al., 2011)</w:t>
      </w:r>
      <w:r w:rsidRPr="0035345F">
        <w:rPr>
          <w:color w:val="000000" w:themeColor="text1"/>
        </w:rPr>
        <w:fldChar w:fldCharType="end"/>
      </w:r>
      <w:r w:rsidRPr="0035345F">
        <w:rPr>
          <w:color w:val="000000" w:themeColor="text1"/>
        </w:rPr>
        <w:t xml:space="preserve">. Nets were placed in the routes to the fruiting food plants of hornbills. We successfully trapped birds on fruiting fig trees. We only tagged adult male birds as the female birds </w:t>
      </w:r>
      <w:r w:rsidR="0023168C" w:rsidRPr="0035345F">
        <w:rPr>
          <w:color w:val="000000" w:themeColor="text1"/>
        </w:rPr>
        <w:t xml:space="preserve">are incarcerated in </w:t>
      </w:r>
      <w:r w:rsidRPr="0035345F">
        <w:rPr>
          <w:color w:val="000000" w:themeColor="text1"/>
        </w:rPr>
        <w:t xml:space="preserve">tree cavities </w:t>
      </w:r>
      <w:r w:rsidR="0023168C" w:rsidRPr="0035345F">
        <w:rPr>
          <w:color w:val="000000" w:themeColor="text1"/>
        </w:rPr>
        <w:t>throughout the entire breeding season</w:t>
      </w:r>
      <w:r w:rsidR="0082296D" w:rsidRPr="0035345F">
        <w:rPr>
          <w:color w:val="000000" w:themeColor="text1"/>
        </w:rPr>
        <w:t>,</w:t>
      </w:r>
      <w:r w:rsidR="0023168C" w:rsidRPr="0035345F">
        <w:rPr>
          <w:color w:val="000000" w:themeColor="text1"/>
        </w:rPr>
        <w:t xml:space="preserve"> </w:t>
      </w:r>
      <w:r w:rsidRPr="0035345F">
        <w:rPr>
          <w:color w:val="000000" w:themeColor="text1"/>
        </w:rPr>
        <w:t xml:space="preserve">and the tags </w:t>
      </w:r>
      <w:r w:rsidRPr="0035345F">
        <w:rPr>
          <w:color w:val="000000" w:themeColor="text1"/>
        </w:rPr>
        <w:lastRenderedPageBreak/>
        <w:t>could interfere with their entry or exit from nest cavities. We did not tag juvenile birds as they can grow in size. Tags were &lt; 3% of the body weight of the birds. Tags were attached as backpacks on birds using Teflon strings</w:t>
      </w:r>
      <w:r w:rsidRPr="002E7B13">
        <w:t xml:space="preserve">. Tags were programmed to take locations at 15-minute intervals throughout the day and turn off at night. We did not use movement information for one Great Hornbill whose tag was programmed to turn on and off at sunrise and sunset respectively. For all the other Great Hornbills and the Wreathed Hornbill, the tag was programmed to shut down at least 45 min after sunset (~ 1900 h IST) and turn on at least two hours before sunrise (~ 0310 h IST). Hornbills arrive at roosts latest by 1700–1800 h (IST) </w:t>
      </w:r>
      <w:r w:rsidRPr="0035345F">
        <w:rPr>
          <w:color w:val="000000" w:themeColor="text1"/>
        </w:rPr>
        <w:t xml:space="preserve">in June when the days are longest (pers. </w:t>
      </w:r>
      <w:proofErr w:type="spellStart"/>
      <w:r w:rsidRPr="0035345F">
        <w:rPr>
          <w:color w:val="000000" w:themeColor="text1"/>
        </w:rPr>
        <w:t>obs</w:t>
      </w:r>
      <w:proofErr w:type="spellEnd"/>
      <w:r w:rsidRPr="0035345F">
        <w:rPr>
          <w:color w:val="000000" w:themeColor="text1"/>
        </w:rPr>
        <w:t>).</w:t>
      </w:r>
    </w:p>
    <w:p w14:paraId="28CCC108" w14:textId="77777777" w:rsidR="000F1F0C" w:rsidRPr="0035345F" w:rsidRDefault="00D93150" w:rsidP="00D4674E">
      <w:pPr>
        <w:spacing w:line="480" w:lineRule="auto"/>
        <w:ind w:firstLine="720"/>
        <w:rPr>
          <w:color w:val="000000" w:themeColor="text1"/>
        </w:rPr>
      </w:pPr>
      <w:r w:rsidRPr="0035345F">
        <w:rPr>
          <w:color w:val="000000" w:themeColor="text1"/>
        </w:rPr>
        <w:t>We used the default “</w:t>
      </w:r>
      <w:proofErr w:type="spellStart"/>
      <w:r w:rsidRPr="0035345F">
        <w:rPr>
          <w:color w:val="000000" w:themeColor="text1"/>
        </w:rPr>
        <w:t>href</w:t>
      </w:r>
      <w:proofErr w:type="spellEnd"/>
      <w:r w:rsidRPr="0035345F">
        <w:rPr>
          <w:color w:val="000000" w:themeColor="text1"/>
        </w:rPr>
        <w:t xml:space="preserve">” function as the smoothing parameter rather than the Least Square Cross Validation (LSCV) method </w:t>
      </w:r>
      <w:r w:rsidRPr="0035345F">
        <w:rPr>
          <w:color w:val="000000" w:themeColor="text1"/>
        </w:rPr>
        <w:fldChar w:fldCharType="begin"/>
      </w:r>
      <w:r w:rsidRPr="0035345F">
        <w:rPr>
          <w:color w:val="000000" w:themeColor="text1"/>
        </w:rPr>
        <w:instrText xml:space="preserve"> ADDIN ZOTERO_ITEM CSL_CITATION {"citationID":"z1s6bnlI","properties":{"formattedCitation":"(Watts &amp; Turrin, 2017; Worton, 1995)","plainCitation":"(Watts &amp; Turrin, 2017; Worton, 1995)","noteIndex":0},"citationItems":[{"id":1590,"uris":["http://zotero.org/users/4905451/items/44ZTWN7P"],"uri":["http://zotero.org/users/4905451/items/44ZTWN7P"],"itemData":{"id":1590,"type":"article-journal","abstract":"We assessed diurnal activity patterns associated with communal roosts (n = 26) by tracking nonbreeding bald eagles (Haliaeetus leucocephalus; n = 58) within the upper Chesapeake Bay, USA, 2008–2013. We used daytime locations (n = 54,165) to map activity shadows (using home range analytics, 90% kernel) around communal roosts, to evaluate the spatial structure and to delineate diurnal activity centers. We overlaid a range (100–3,200 m) of buffers around the perimeter of each roost to estimate the benefits of management scenarios in extending protection to daytime activities. Activity shadows around roosts varied from 1.5 km2 to 116 km2 ( = 30.3 ± 5.48 [SE]), reflecting landscape context. Roosts with small (&lt;10 km2) activity shadows tended to have simple shapes with roosts centrally located and positioned along primary shorelines. Roosts supporting large (&gt;50 km2) activity shadows tended to have complex shapes with roosts not centrally located and set back from primary shorelines. Daytime locations were highly concentrated in areas near communal roosts (76% of locations within 2 km of roost perimeters). Diurnal activity centers (n = 38) included areas surrounding roosts and secondary activity centers that were primarily located along prominent shorelines. Communal roosts play a more significant and multi-faceted role in the eagle life cycle than we previously understood. Many of the roosts positioned along the shoreline provided resting places during the night and day, served as social gathering places during the day, and functioned as feeding locations. Evaluation of management buffers supports current management guidelines that recommend the establishment of 800-m buffers. Establishment of 800-m buffers within the study area would enclose 54% of all daytime locations, 66.7% of the area enclosed within activity centers associated with roosts, and 12.1% of the area enclosed in secondary activity centers. © 2017 The Wildlife Society.","container-title":"The Journal of Wildlife Management","DOI":"10.1002/jwmg.21263","ISSN":"1937-2817","issue":"5","language":"en","note":"_eprint: https://wildlife.onlinelibrary.wiley.com/doi/pdf/10.1002/jwmg.21263","page":"928-937","source":"Wiley Online Library","title":"Mapping bald eagle activity shadows around communal roosts","volume":"81","author":[{"family":"Watts","given":"Bryan D."},{"family":"Turrin","given":"Courtney"}],"issued":{"date-parts":[["2017"]]}}},{"id":1601,"uris":["http://zotero.org/users/4905451/items/JSSNUZU3"],"uri":["http://zotero.org/users/4905451/items/JSSNUZU3"],"itemData":{"id":1601,"type":"article-journal","abstract":"Kernel density estimators have been used to estimate home range size but little is known of their statistical properties. I applied kernel-based estimators of home range size, calculated from 95% probability contours of nonparametric density estimators, to computer-simulated radiolocation data. Four hypothetical models of home range suggested by Boulanger and White (1990) were used to evaluate bias and precision of these estimators in estimating known home range sizes. Kernel methods compared well with the best methods that are available for home range size estimation provided the appropriate level of smoothing was selected. I used brush rabbit (Sylvilagus bachmani) telemetry data to illustrate how Monte Carlo methods may also be used to assess estimator performance from field radiolocation data. A kernel estimator is preferred to a harmonic mean estimator in this example because it is less biased (i.e., the harmonic mean method has an inherent problem).","archive":"JSTOR","container-title":"The Journal of Wildlife Management","DOI":"10.2307/3801959","ISSN":"0022-541X","issue":"4","note":"publisher: [Wiley, Wildlife Society]","page":"794-800","source":"JSTOR","title":"Using Monte Carlo simulation to evaluate kernel-based home range estimators","volume":"59","author":[{"family":"Worton","given":"Bruce J."}],"issued":{"date-parts":[["1995"]]}}}],"schema":"https://github.com/citation-style-language/schema/raw/master/csl-citation.json"} </w:instrText>
      </w:r>
      <w:r w:rsidRPr="0035345F">
        <w:rPr>
          <w:color w:val="000000" w:themeColor="text1"/>
        </w:rPr>
        <w:fldChar w:fldCharType="separate"/>
      </w:r>
      <w:r w:rsidRPr="0035345F">
        <w:rPr>
          <w:noProof/>
          <w:color w:val="000000" w:themeColor="text1"/>
        </w:rPr>
        <w:t>(Watts &amp; Turrin, 2017; Worton, 1995)</w:t>
      </w:r>
      <w:r w:rsidRPr="0035345F">
        <w:rPr>
          <w:color w:val="000000" w:themeColor="text1"/>
        </w:rPr>
        <w:fldChar w:fldCharType="end"/>
      </w:r>
      <w:r w:rsidRPr="0035345F">
        <w:rPr>
          <w:color w:val="000000" w:themeColor="text1"/>
        </w:rPr>
        <w:t xml:space="preserve">. The LSCV method estimates smaller home ranges than the </w:t>
      </w:r>
      <w:proofErr w:type="spellStart"/>
      <w:r w:rsidRPr="0035345F">
        <w:rPr>
          <w:color w:val="000000" w:themeColor="text1"/>
        </w:rPr>
        <w:t>href</w:t>
      </w:r>
      <w:proofErr w:type="spellEnd"/>
      <w:r w:rsidRPr="0035345F">
        <w:rPr>
          <w:color w:val="000000" w:themeColor="text1"/>
        </w:rPr>
        <w:t xml:space="preserve"> method </w:t>
      </w:r>
      <w:r w:rsidRPr="0035345F">
        <w:rPr>
          <w:color w:val="000000" w:themeColor="text1"/>
        </w:rPr>
        <w:fldChar w:fldCharType="begin"/>
      </w:r>
      <w:r w:rsidRPr="0035345F">
        <w:rPr>
          <w:color w:val="000000" w:themeColor="text1"/>
        </w:rPr>
        <w:instrText xml:space="preserve"> ADDIN ZOTERO_ITEM CSL_CITATION {"citationID":"CjgqZU1i","properties":{"formattedCitation":"(Hemson et al., 2005)","plainCitation":"(Hemson et al., 2005)","noteIndex":0},"citationItems":[{"id":4113,"uris":["http://zotero.org/users/4905451/items/85AAW9KA"],"uri":["http://zotero.org/users/4905451/items/85AAW9KA"],"itemData":{"id":4113,"type":"article-journal","abstract":"1 Kernel-density estimation (KDE) is one of the most widely used home-range estimators in ecology. The recommended implementation uses least squares cross-validation (LSCV) to calculate the smoothing factor (h) which has a considerable influence on the home-range estimate. 2 We tested the performance of least squares cross-validated kernel-density estimation (LSCV KDE) using data from global positioning system (GPS)-collared lions subsampled to simulate the effects of hypothetical radio-tracking strategies. 3 LSCV produced variable results and a 7% failure rate for fewer than 100 locations (n = 2069) and a 61% failure rate above 100 points (n = 1220). Patterns of failure and variation were not consistent among lions, reflecting different individual space use patterns. 4 Intensive use of core areas and site fidelity by animals caused LSCV to fail more often than anticipated from studies that used computer-simulated data. 5 LSCV failures at large sample sizes and variation at small sample sizes, limits the applicability of LSCV KDE to fewer situations than the literature suggests, and casts doubts over the method's reliability and comparability as a home-range estimator.","container-title":"Journal of Animal Ecology","DOI":"10.1111/j.1365-2656.2005.00944.x","ISSN":"1365-2656","issue":"3","language":"en","note":"_eprint: https://besjournals.onlinelibrary.wiley.com/doi/pdf/10.1111/j.1365-2656.2005.00944.x","page":"455-463","source":"Wiley Online Library","title":"Are kernels the mustard? Data from global positioning system (GPS) collars suggests problems for kernel home-range analyses with least-squares cross-validation","title-short":"Are kernels the mustard?","volume":"74","author":[{"family":"Hemson","given":"Graham"},{"family":"Johnson","given":"Paul"},{"family":"South","given":"Andy"},{"family":"Kenward","given":"Robert"},{"family":"Ripley","given":"Ruth"},{"family":"Macdonald","given":"David"}],"issued":{"date-parts":[["2005"]]}}}],"schema":"https://github.com/citation-style-language/schema/raw/master/csl-citation.json"} </w:instrText>
      </w:r>
      <w:r w:rsidRPr="0035345F">
        <w:rPr>
          <w:color w:val="000000" w:themeColor="text1"/>
        </w:rPr>
        <w:fldChar w:fldCharType="separate"/>
      </w:r>
      <w:r w:rsidRPr="0035345F">
        <w:rPr>
          <w:noProof/>
          <w:color w:val="000000" w:themeColor="text1"/>
        </w:rPr>
        <w:t>(Hemson et al., 2005)</w:t>
      </w:r>
      <w:r w:rsidRPr="0035345F">
        <w:rPr>
          <w:color w:val="000000" w:themeColor="text1"/>
        </w:rPr>
        <w:fldChar w:fldCharType="end"/>
      </w:r>
      <w:r w:rsidRPr="0035345F">
        <w:rPr>
          <w:color w:val="000000" w:themeColor="text1"/>
        </w:rPr>
        <w:t xml:space="preserve">. If the roost sites are outside the 50% utilization distributions as estimated by the </w:t>
      </w:r>
      <w:proofErr w:type="spellStart"/>
      <w:r w:rsidRPr="0035345F">
        <w:rPr>
          <w:color w:val="000000" w:themeColor="text1"/>
        </w:rPr>
        <w:t>href</w:t>
      </w:r>
      <w:proofErr w:type="spellEnd"/>
      <w:r w:rsidRPr="0035345F">
        <w:rPr>
          <w:color w:val="000000" w:themeColor="text1"/>
        </w:rPr>
        <w:t xml:space="preserve"> method, then they are even less likely to be inside the 50% utilization distributions estimated by the LSCV method.</w:t>
      </w:r>
    </w:p>
    <w:p w14:paraId="41B3CFDC" w14:textId="0CEADA7E" w:rsidR="005F4A00" w:rsidRPr="002E7B13" w:rsidRDefault="005F4A00" w:rsidP="00D4674E">
      <w:pPr>
        <w:spacing w:line="480" w:lineRule="auto"/>
        <w:ind w:firstLine="720"/>
      </w:pPr>
      <w:r w:rsidRPr="002E7B13">
        <w:t>Estimating seed dispersal distances and proportion of seeds dispersed at roost sites</w:t>
      </w:r>
      <w:r w:rsidR="002E7B13" w:rsidRPr="002E7B13">
        <w:t>:</w:t>
      </w:r>
    </w:p>
    <w:p w14:paraId="08A0EA8F" w14:textId="014D7741" w:rsidR="005F4A00" w:rsidRPr="002E7B13" w:rsidRDefault="005F4A00" w:rsidP="002E7B13">
      <w:pPr>
        <w:suppressAutoHyphens w:val="0"/>
        <w:spacing w:line="480" w:lineRule="auto"/>
      </w:pPr>
      <w:r w:rsidRPr="002E7B13">
        <w:rPr>
          <w:color w:val="000000" w:themeColor="text1"/>
        </w:rPr>
        <w:t xml:space="preserve">For estimating the seed dispersal kernels, we have followed established methods as outlined in multiple studies </w:t>
      </w:r>
      <w:r w:rsidRPr="002E7B13">
        <w:rPr>
          <w:color w:val="000000" w:themeColor="text1"/>
        </w:rPr>
        <w:fldChar w:fldCharType="begin"/>
      </w:r>
      <w:r w:rsidRPr="002E7B13">
        <w:rPr>
          <w:color w:val="000000" w:themeColor="text1"/>
        </w:rPr>
        <w:instrText xml:space="preserve"> ADDIN ZOTERO_ITEM CSL_CITATION {"citationID":"PEPhs10O","properties":{"formattedCitation":"(Kays, Jansen, Knecht, Vohwinkel, &amp; Wikelski, 2011; Lenz et al., 2011; Naniwadekar, Rathore, Shukla, Chaplod, &amp; Datta, 2019; Westcott, Bentrupperbaumer, Bradford, &amp; McKeown, 2005)","plainCitation":"(Kays, Jansen, Knecht, Vohwinkel, &amp; Wikelski, 2011; Lenz et al., 2011; Naniwadekar, Rathore, Shukla, Chaplod, &amp; Datta, 2019; Westcott, Bentrupperbaumer, Bradford, &amp; McKeown, 2005)","noteIndex":0},"citationItems":[{"id":680,"uris":["http://zotero.org/users/4905451/items/P9TT7X9W"],"uri":["http://zotero.org/users/4905451/items/P9TT7X9W"],"itemData":{"id":680,"type":"article-journal","abstract":"Seed dispersal is critical to understanding forest dynamics but is hard to study because tracking seeds is difﬁcult. Even for the best-studied dispersal system of the Neotropics, Virola nobilis, the dispersal kernel remains unknown. We combined high-resolution GPS/3D-acceleration bird tracking, seed-retention experiments, and ﬁeld observations to quantify dispersal of V. nobilis by their principal dispersers, Ramphastos toucans. We inferred feeding events from movement data, and then estimated spatiotemporally explicit seed-dispersal kernels. Wild toucans moved an average of 1.8 km dÀ1 with two distinct activity peaks. Seed retention time in captive toucans averaged 25.5 min (range 4e98 min). Estimated seed dispersal distance averaged 144 Æ 147 m, with a 56% likelihood of dispersal &gt;100 m, two times further than the behaviour-naive estimate from the same data. Dispersal was furthest for seeds ingested in the morning, and increased with seed retention time, but only up to 60 min after feeding. Our study supports the long-standing hypothesis that toucans are excellent dispersers of Virola seeds. To maximize seed dispersal distances trees should ripen fruit in the morning when birds move the most, and produce fruits with gut-processing times around 60 min. Our study demonstrates how new tracking technology can yield nuanced seed dispersal kernels for animals that cannot be directly observed.","container-title":"Acta Oecologica","DOI":"10.1016/j.actao.2011.06.007","ISSN":"1146609X","issue":"6","journalAbbreviation":"Acta Oecol.","language":"en","page":"625-631","source":"Crossref","title":"The effect of feeding time on dispersal of Virola seeds by toucans determined from GPS tracking and accelerometers","volume":"37","author":[{"family":"Kays","given":"Roland"},{"family":"Jansen","given":"Patrick A."},{"family":"Knecht","given":"Elise M.H."},{"family":"Vohwinkel","given":"Reinhard"},{"family":"Wikelski","given":"Martin"}],"issued":{"date-parts":[["2011",11]]}}},{"id":653,"uris":["http://zotero.org/users/4905451/items/2IPIDMKQ"],"uri":["http://zotero.org/users/4905451/items/2IPIDMKQ"],"itemData":{"id":653,"type":"article-journal","abstract":"Frugivorous birds provide important ecosystem services by transporting seeds of fleshy fruited plants. It has been assumed that seed-dispersal kernels generated by these animals are generally leptokurtic, resulting in little dispersal among habitat fragments. However, little is known about the seed-dispersal distribution generated by large frugivorous birds in fragmented landscapes. We investigated movement and seed-dispersal patterns of trumpeter hornbills (Bycanistes bucinator) in a fragmented landscape in South Africa. Novel GPS loggers provide high-quality location data without bias against recording long-distance movements. We found a very weakly bimodal seed-dispersal distribution with potential dispersal distances up to 14.5 km. Within forest, the seed-dispersal distribution was unimodal with an expected dispersal distance of 86 m. In the fragmented agricultural landscape, the distribution was strongly bimodal with peaks at 18 and 512 m. Our results demonstrate that seed-dispersal distributions differed when birds moved in different habitat types. Seed-dispersal distances in fragmented landscapes show that transport among habitat patches is more frequent than previously assumed, allowing plants to disperse among habitat patches and to track the changing climatic conditions.","container-title":"Proceedings of the Royal Society B","DOI":"10.1098/rspb.2010.2383","ISSN":"0962-8452, 1471-2954","issue":"1716","journalAbbreviation":"Proc. R. Soc. B","language":"en","note":"PMID: 21177686","page":"2257-2264","source":"rspb.royalsocietypublishing.org","title":"Seed-dispersal distributions by trumpeter hornbills in fragmented landscapes","volume":"278","author":[{"family":"Lenz","given":"Johanna"},{"family":"Fiedler","given":"Wolfgang"},{"family":"Caprano","given":"Tanja"},{"family":"Friedrichs","given":"Wolfgang"},{"family":"Gaese","given":"Bernhard H."},{"family":"Wikelski","given":"Martin"},{"family":"Böhning-Gaese","given":"Katrin"}],"issued":{"date-parts":[["2011"]]}}},{"id":1298,"uris":["http://zotero.org/users/4905451/items/3R9DY3IM"],"uri":["http://zotero.org/users/4905451/items/3R9DY3IM"],"itemData":{"id":1298,"type":"article-journal","container-title":"Acta Oecologica","DOI":"https://doi.org/10.1016/j.actao.2019.103482","page":"103482","title":"How far do Asian forest hornbills disperse seeds?","volume":"101","author":[{"family":"Naniwadekar","given":"Rohit"},{"family":"Rathore","given":"Akanksha"},{"family":"Shukla","given":"Ushma"},{"family":"Chaplod","given":"Saniya"},{"family":"Datta","given":"Aparajita"}],"issued":{"date-parts":[["2019"]]}}},{"id":805,"uris":["http://zotero.org/users/4905451/items/VATTDKSJ"],"uri":["http://zotero.org/users/4905451/items/VATTDKSJ"],"itemData":{"id":805,"type":"article-journal","container-title":"Oecologia","DOI":"https://doi.org/10.1007/s00442-005-0178-1","page":"57-67","title":"Incorporating patterns of disperser behaviour into models of seed dispersal and its effects on estimated dispersal curves","volume":"146","author":[{"family":"Westcott","given":"David"},{"family":"Bentrupperbaumer","given":"Joan"},{"family":"Bradford","given":"Matt G."},{"family":"McKeown","given":"Adam"}],"issued":{"date-parts":[["2005"]]}}}],"schema":"https://github.com/citation-style-language/schema/raw/master/csl-citation.json"} </w:instrText>
      </w:r>
      <w:r w:rsidRPr="002E7B13">
        <w:rPr>
          <w:color w:val="000000" w:themeColor="text1"/>
        </w:rPr>
        <w:fldChar w:fldCharType="separate"/>
      </w:r>
      <w:r w:rsidRPr="002E7B13">
        <w:rPr>
          <w:color w:val="000000" w:themeColor="text1"/>
        </w:rPr>
        <w:t>(Kays, Jansen, Knecht, Vohwinkel, &amp; Wikelski, 2011; Lenz et al., 2011; Naniwadekar, Rathore, Shukla, Chaplod, &amp; Datta, 2019; Westcott, Bentrupperbaumer, Bradford, &amp; McKeown, 2005)</w:t>
      </w:r>
      <w:r w:rsidRPr="002E7B13">
        <w:rPr>
          <w:color w:val="000000" w:themeColor="text1"/>
        </w:rPr>
        <w:fldChar w:fldCharType="end"/>
      </w:r>
      <w:r w:rsidRPr="002E7B13">
        <w:rPr>
          <w:color w:val="000000" w:themeColor="text1"/>
        </w:rPr>
        <w:t xml:space="preserve">. We integrated the movement data with the data on visitation data of hornbills on fruiting trees </w:t>
      </w:r>
      <w:r w:rsidRPr="002E7B13">
        <w:rPr>
          <w:color w:val="000000" w:themeColor="text1"/>
        </w:rPr>
        <w:fldChar w:fldCharType="begin"/>
      </w:r>
      <w:r w:rsidRPr="002E7B13">
        <w:rPr>
          <w:color w:val="000000" w:themeColor="text1"/>
        </w:rPr>
        <w:instrText xml:space="preserve"> ADDIN ZOTERO_ITEM CSL_CITATION {"citationID":"eRJniInq","properties":{"formattedCitation":"(Naniwadekar et al., 2019)","plainCitation":"(Naniwadekar et al., 2019)","noteIndex":0},"citationItems":[{"id":1298,"uris":["http://zotero.org/users/4905451/items/3R9DY3IM"],"uri":["http://zotero.org/users/4905451/items/3R9DY3IM"],"itemData":{"id":1298,"type":"article-journal","container-title":"Acta Oecologica","DOI":"https://doi.org/10.1016/j.actao.2019.103482","page":"103482","title":"How far do Asian forest hornbills disperse seeds?","volume":"101","author":[{"family":"Naniwadekar","given":"Rohit"},{"family":"Rathore","given":"Akanksha"},{"family":"Shukla","given":"Ushma"},{"family":"Chaplod","given":"Saniya"},{"family":"Datta","given":"Aparajita"}],"issued":{"date-parts":[["2019"]]}}}],"schema":"https://github.com/citation-style-language/schema/raw/master/csl-citation.json"} </w:instrText>
      </w:r>
      <w:r w:rsidRPr="002E7B13">
        <w:rPr>
          <w:color w:val="000000" w:themeColor="text1"/>
        </w:rPr>
        <w:fldChar w:fldCharType="separate"/>
      </w:r>
      <w:r w:rsidRPr="002E7B13">
        <w:rPr>
          <w:color w:val="000000" w:themeColor="text1"/>
        </w:rPr>
        <w:t>(Naniwadekar et al., 2019)</w:t>
      </w:r>
      <w:r w:rsidRPr="002E7B13">
        <w:rPr>
          <w:color w:val="000000" w:themeColor="text1"/>
        </w:rPr>
        <w:fldChar w:fldCharType="end"/>
      </w:r>
      <w:r w:rsidRPr="002E7B13">
        <w:rPr>
          <w:color w:val="000000" w:themeColor="text1"/>
        </w:rPr>
        <w:t xml:space="preserve">, and gut retention </w:t>
      </w:r>
      <w:r w:rsidRPr="002E7B13">
        <w:rPr>
          <w:color w:val="000000" w:themeColor="text1"/>
        </w:rPr>
        <w:fldChar w:fldCharType="begin"/>
      </w:r>
      <w:r w:rsidRPr="002E7B13">
        <w:rPr>
          <w:color w:val="000000" w:themeColor="text1"/>
        </w:rPr>
        <w:instrText xml:space="preserve"> ADDIN ZOTERO_ITEM CSL_CITATION {"citationID":"D51zKk7U","properties":{"formattedCitation":"(Shukla, Naniwadekar, Rathore, &amp; Datta, 2018)","plainCitation":"(Shukla, Naniwadekar, Rathore, &amp; Datta, 2018)","noteIndex":0},"citationItems":[{"id":1113,"uris":["http://zotero.org/users/4905451/items/HMU7YW2X"],"uri":["http://zotero.org/users/4905451/items/HMU7YW2X"],"itemData":{"id":1113,"type":"article-journal","container-title":"The Sarawak Museum Journal","page":"167-194","title":"Variability in gut passage times of Asian hornbills for large-seeded tree species","volume":"100","author":[{"family":"Shukla","given":"Ushma"},{"family":"Naniwadekar","given":"Rohit"},{"family":"Rathore","given":"Akanksha"},{"family":"Datta","given":"Aparajita"}],"issued":{"date-parts":[["2018"]]}}}],"schema":"https://github.com/citation-style-language/schema/raw/master/csl-citation.json"} </w:instrText>
      </w:r>
      <w:r w:rsidRPr="002E7B13">
        <w:rPr>
          <w:color w:val="000000" w:themeColor="text1"/>
        </w:rPr>
        <w:fldChar w:fldCharType="separate"/>
      </w:r>
      <w:r w:rsidRPr="002E7B13">
        <w:rPr>
          <w:color w:val="000000" w:themeColor="text1"/>
        </w:rPr>
        <w:t>(Shukla, Naniwadekar, Rathore, &amp; Datta, 2018)</w:t>
      </w:r>
      <w:r w:rsidRPr="002E7B13">
        <w:rPr>
          <w:color w:val="000000" w:themeColor="text1"/>
        </w:rPr>
        <w:fldChar w:fldCharType="end"/>
      </w:r>
      <w:r w:rsidRPr="002E7B13">
        <w:rPr>
          <w:color w:val="000000" w:themeColor="text1"/>
        </w:rPr>
        <w:t xml:space="preserve">. We used the distribution of visitation pattern of hornbills on fruiting trees to draw the random samples of starting points. This way, the random starting points, were more </w:t>
      </w:r>
      <w:r w:rsidRPr="0035345F">
        <w:rPr>
          <w:color w:val="000000" w:themeColor="text1"/>
        </w:rPr>
        <w:t xml:space="preserve">likely to be fruiting trees than just randomly drawing starting points assuming uniform distribution. We </w:t>
      </w:r>
      <w:r w:rsidR="00336D3D" w:rsidRPr="0035345F">
        <w:rPr>
          <w:color w:val="000000" w:themeColor="text1"/>
        </w:rPr>
        <w:t>obtained</w:t>
      </w:r>
      <w:r w:rsidRPr="0035345F">
        <w:rPr>
          <w:color w:val="000000" w:themeColor="text1"/>
        </w:rPr>
        <w:t xml:space="preserve"> gut retention data for 305 </w:t>
      </w:r>
      <w:r w:rsidR="00336D3D" w:rsidRPr="0035345F">
        <w:rPr>
          <w:color w:val="000000" w:themeColor="text1"/>
        </w:rPr>
        <w:t xml:space="preserve">seeds of </w:t>
      </w:r>
      <w:r w:rsidR="00881FA8" w:rsidRPr="0035345F">
        <w:rPr>
          <w:color w:val="000000" w:themeColor="text1"/>
        </w:rPr>
        <w:lastRenderedPageBreak/>
        <w:t xml:space="preserve">five species of medium and </w:t>
      </w:r>
      <w:r w:rsidR="00336D3D" w:rsidRPr="0035345F">
        <w:rPr>
          <w:color w:val="000000" w:themeColor="text1"/>
        </w:rPr>
        <w:t>large-seeded plants</w:t>
      </w:r>
      <w:r w:rsidRPr="0035345F">
        <w:rPr>
          <w:color w:val="000000" w:themeColor="text1"/>
        </w:rPr>
        <w:t xml:space="preserve"> </w:t>
      </w:r>
      <w:r w:rsidRPr="0035345F">
        <w:rPr>
          <w:color w:val="000000" w:themeColor="text1"/>
        </w:rPr>
        <w:fldChar w:fldCharType="begin"/>
      </w:r>
      <w:r w:rsidR="00881FA8" w:rsidRPr="0035345F">
        <w:rPr>
          <w:color w:val="000000" w:themeColor="text1"/>
        </w:rPr>
        <w:instrText xml:space="preserve"> ADDIN ZOTERO_ITEM CSL_CITATION {"citationID":"WH2YwYmd","properties":{"formattedCitation":"(Naniwadekar et al., 2019; Shukla et al., 2018)","plainCitation":"(Naniwadekar et al., 2019; Shukla et al., 2018)","noteIndex":0},"citationItems":[{"id":1298,"uris":["http://zotero.org/users/4905451/items/3R9DY3IM"],"uri":["http://zotero.org/users/4905451/items/3R9DY3IM"],"itemData":{"id":1298,"type":"article-journal","container-title":"Acta Oecologica","DOI":"https://doi.org/10.1016/j.actao.2019.103482","page":"103482","title":"How far do Asian forest hornbills disperse seeds?","volume":"101","author":[{"family":"Naniwadekar","given":"Rohit"},{"family":"Rathore","given":"Akanksha"},{"family":"Shukla","given":"Ushma"},{"family":"Chaplod","given":"Saniya"},{"family":"Datta","given":"Aparajita"}],"issued":{"date-parts":[["2019"]]}}},{"id":1113,"uris":["http://zotero.org/users/4905451/items/HMU7YW2X"],"uri":["http://zotero.org/users/4905451/items/HMU7YW2X"],"itemData":{"id":1113,"type":"article-journal","container-title":"The Sarawak Museum Journal","page":"167-194","title":"Variability in gut passage times of Asian hornbills for large-seeded tree species","volume":"100","author":[{"family":"Shukla","given":"Ushma"},{"family":"Naniwadekar","given":"Rohit"},{"family":"Rathore","given":"Akanksha"},{"family":"Datta","given":"Aparajita"}],"issued":{"date-parts":[["2018"]]}}}],"schema":"https://github.com/citation-style-language/schema/raw/master/csl-citation.json"} </w:instrText>
      </w:r>
      <w:r w:rsidRPr="0035345F">
        <w:rPr>
          <w:color w:val="000000" w:themeColor="text1"/>
        </w:rPr>
        <w:fldChar w:fldCharType="separate"/>
      </w:r>
      <w:r w:rsidR="00881FA8" w:rsidRPr="0035345F">
        <w:rPr>
          <w:color w:val="000000" w:themeColor="text1"/>
        </w:rPr>
        <w:t>(Naniwadekar et al., 2019; Shukla et al., 2018)</w:t>
      </w:r>
      <w:r w:rsidRPr="0035345F">
        <w:rPr>
          <w:color w:val="000000" w:themeColor="text1"/>
        </w:rPr>
        <w:fldChar w:fldCharType="end"/>
      </w:r>
      <w:r w:rsidRPr="0035345F">
        <w:rPr>
          <w:color w:val="000000" w:themeColor="text1"/>
        </w:rPr>
        <w:t xml:space="preserve">. We performed 10 simulations per seed </w:t>
      </w:r>
      <w:r w:rsidR="00336D3D" w:rsidRPr="0035345F">
        <w:rPr>
          <w:color w:val="000000" w:themeColor="text1"/>
        </w:rPr>
        <w:t xml:space="preserve">per individual bird </w:t>
      </w:r>
      <w:r w:rsidRPr="0035345F">
        <w:rPr>
          <w:color w:val="000000" w:themeColor="text1"/>
        </w:rPr>
        <w:t>(total number of simulations = 3</w:t>
      </w:r>
      <w:r w:rsidR="00D4674E" w:rsidRPr="0035345F">
        <w:rPr>
          <w:color w:val="000000" w:themeColor="text1"/>
        </w:rPr>
        <w:t>,</w:t>
      </w:r>
      <w:r w:rsidRPr="0035345F">
        <w:rPr>
          <w:color w:val="000000" w:themeColor="text1"/>
        </w:rPr>
        <w:t>050</w:t>
      </w:r>
      <w:r w:rsidR="00336D3D" w:rsidRPr="0035345F">
        <w:rPr>
          <w:color w:val="000000" w:themeColor="text1"/>
        </w:rPr>
        <w:t xml:space="preserve"> per individual bird</w:t>
      </w:r>
      <w:r w:rsidRPr="0035345F">
        <w:rPr>
          <w:color w:val="000000" w:themeColor="text1"/>
        </w:rPr>
        <w:t xml:space="preserve">). Since the birds have distinct foraging times, in each simulation, we selected the starting point based on the temporal </w:t>
      </w:r>
      <w:r w:rsidRPr="002E7B13">
        <w:rPr>
          <w:color w:val="000000" w:themeColor="text1"/>
        </w:rPr>
        <w:t xml:space="preserve">distribution of visitation patterns on fruiting trees of hornbills as presented in another study </w:t>
      </w:r>
      <w:r w:rsidRPr="002E7B13">
        <w:rPr>
          <w:color w:val="000000" w:themeColor="text1"/>
        </w:rPr>
        <w:fldChar w:fldCharType="begin"/>
      </w:r>
      <w:r w:rsidRPr="002E7B13">
        <w:rPr>
          <w:color w:val="000000" w:themeColor="text1"/>
        </w:rPr>
        <w:instrText xml:space="preserve"> ADDIN ZOTERO_ITEM CSL_CITATION {"citationID":"vHpTglZb","properties":{"formattedCitation":"(Naniwadekar et al., 2019)","plainCitation":"(Naniwadekar et al., 2019)","noteIndex":0},"citationItems":[{"id":1298,"uris":["http://zotero.org/users/4905451/items/3R9DY3IM"],"uri":["http://zotero.org/users/4905451/items/3R9DY3IM"],"itemData":{"id":1298,"type":"article-journal","container-title":"Acta Oecologica","DOI":"https://doi.org/10.1016/j.actao.2019.103482","page":"103482","title":"How far do Asian forest hornbills disperse seeds?","volume":"101","author":[{"family":"Naniwadekar","given":"Rohit"},{"family":"Rathore","given":"Akanksha"},{"family":"Shukla","given":"Ushma"},{"family":"Chaplod","given":"Saniya"},{"family":"Datta","given":"Aparajita"}],"issued":{"date-parts":[["2019"]]}}}],"schema":"https://github.com/citation-style-language/schema/raw/master/csl-citation.json"} </w:instrText>
      </w:r>
      <w:r w:rsidRPr="002E7B13">
        <w:rPr>
          <w:color w:val="000000" w:themeColor="text1"/>
        </w:rPr>
        <w:fldChar w:fldCharType="separate"/>
      </w:r>
      <w:r w:rsidRPr="002E7B13">
        <w:rPr>
          <w:color w:val="000000" w:themeColor="text1"/>
        </w:rPr>
        <w:t>(Naniwadekar et al., 2019)</w:t>
      </w:r>
      <w:r w:rsidRPr="002E7B13">
        <w:rPr>
          <w:color w:val="000000" w:themeColor="text1"/>
        </w:rPr>
        <w:fldChar w:fldCharType="end"/>
      </w:r>
      <w:r w:rsidRPr="002E7B13">
        <w:rPr>
          <w:color w:val="000000" w:themeColor="text1"/>
        </w:rPr>
        <w:t>. We determined the straight-line distance of the bird from the starting point at the end of the gut retention time for that particular seed. We also determined the end location of the bird. This end location was assumed to be site where the seed was dispersed. If the end location was within 50 m from the roost site of the bird for that day, the seed was assumed to be dispersed at roost, else it was assumed to be dispersed at non-roost location. We compiled the information from 3</w:t>
      </w:r>
      <w:r w:rsidR="00D4674E">
        <w:rPr>
          <w:color w:val="000000" w:themeColor="text1"/>
        </w:rPr>
        <w:t>,</w:t>
      </w:r>
      <w:r w:rsidRPr="002E7B13">
        <w:rPr>
          <w:color w:val="000000" w:themeColor="text1"/>
        </w:rPr>
        <w:t xml:space="preserve">050 simulations to determine the proportion of seeds that were dispersed at roost sites and non-roost sites. </w:t>
      </w:r>
      <w:r w:rsidRPr="002E7B13">
        <w:br w:type="page"/>
      </w:r>
    </w:p>
    <w:p w14:paraId="5D37A320" w14:textId="77777777" w:rsidR="006F6E80" w:rsidRPr="002E7B13" w:rsidRDefault="005F4A00" w:rsidP="002E7B13">
      <w:pPr>
        <w:spacing w:line="480" w:lineRule="auto"/>
      </w:pPr>
      <w:r w:rsidRPr="0042138B">
        <w:rPr>
          <w:b/>
          <w:color w:val="000000" w:themeColor="text1"/>
        </w:rPr>
        <w:lastRenderedPageBreak/>
        <w:t>Table S1.</w:t>
      </w:r>
      <w:r w:rsidRPr="002E7B13">
        <w:rPr>
          <w:b/>
          <w:color w:val="000000" w:themeColor="text1"/>
        </w:rPr>
        <w:t xml:space="preserve"> </w:t>
      </w:r>
      <w:r w:rsidR="006F6E80" w:rsidRPr="002E7B13">
        <w:t xml:space="preserve">Breeding status, number of days of roosting data available for the five tagged hornbills (one Wreathed and four Great Hornbills), number of unique roost sites (separated by 200 m distance), and mean (range) number of nights a roost site was used by the different individual hornbills.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27"/>
        <w:gridCol w:w="1702"/>
        <w:gridCol w:w="1560"/>
        <w:gridCol w:w="1136"/>
        <w:gridCol w:w="989"/>
        <w:gridCol w:w="2127"/>
      </w:tblGrid>
      <w:tr w:rsidR="005F4A00" w:rsidRPr="002E7B13" w14:paraId="1F97D674" w14:textId="77777777" w:rsidTr="006F6E80">
        <w:trPr>
          <w:trHeight w:val="310"/>
        </w:trPr>
        <w:tc>
          <w:tcPr>
            <w:tcW w:w="1127" w:type="dxa"/>
          </w:tcPr>
          <w:p w14:paraId="72552847" w14:textId="77777777" w:rsidR="005F4A00" w:rsidRPr="002E7B13" w:rsidRDefault="005F4A0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Hornbill ID</w:t>
            </w:r>
          </w:p>
        </w:tc>
        <w:tc>
          <w:tcPr>
            <w:tcW w:w="1702" w:type="dxa"/>
          </w:tcPr>
          <w:p w14:paraId="47F7301E" w14:textId="77777777" w:rsidR="005F4A00" w:rsidRPr="002E7B13" w:rsidRDefault="005F4A0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Species</w:t>
            </w:r>
          </w:p>
        </w:tc>
        <w:tc>
          <w:tcPr>
            <w:tcW w:w="1560" w:type="dxa"/>
          </w:tcPr>
          <w:p w14:paraId="70FDC058" w14:textId="77777777" w:rsidR="005F4A00" w:rsidRPr="002E7B13" w:rsidRDefault="005F4A0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Status</w:t>
            </w:r>
          </w:p>
        </w:tc>
        <w:tc>
          <w:tcPr>
            <w:tcW w:w="1136" w:type="dxa"/>
          </w:tcPr>
          <w:p w14:paraId="51C8DAD1" w14:textId="77777777" w:rsidR="005F4A00" w:rsidRPr="002E7B13" w:rsidRDefault="005F4A0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 days data available</w:t>
            </w:r>
          </w:p>
        </w:tc>
        <w:tc>
          <w:tcPr>
            <w:tcW w:w="989" w:type="dxa"/>
          </w:tcPr>
          <w:p w14:paraId="217F5EAB" w14:textId="77777777" w:rsidR="005F4A00" w:rsidRPr="002E7B13" w:rsidRDefault="005F4A0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 of unique roost sites</w:t>
            </w:r>
          </w:p>
        </w:tc>
        <w:tc>
          <w:tcPr>
            <w:tcW w:w="2127" w:type="dxa"/>
          </w:tcPr>
          <w:p w14:paraId="2E5F7853" w14:textId="77777777" w:rsidR="005F4A00" w:rsidRPr="002E7B13" w:rsidRDefault="005F4A0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 xml:space="preserve">Mean (range) number of nights a roost site was used </w:t>
            </w:r>
          </w:p>
        </w:tc>
      </w:tr>
      <w:tr w:rsidR="006F6E80" w:rsidRPr="002E7B13" w14:paraId="7E4BB4C5" w14:textId="77777777" w:rsidTr="006F6E80">
        <w:trPr>
          <w:trHeight w:val="310"/>
        </w:trPr>
        <w:tc>
          <w:tcPr>
            <w:tcW w:w="1127" w:type="dxa"/>
          </w:tcPr>
          <w:p w14:paraId="132E26A1"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GH3Br</w:t>
            </w:r>
          </w:p>
        </w:tc>
        <w:tc>
          <w:tcPr>
            <w:tcW w:w="1702" w:type="dxa"/>
          </w:tcPr>
          <w:p w14:paraId="6C8CA2A3"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Great Hornbill</w:t>
            </w:r>
          </w:p>
        </w:tc>
        <w:tc>
          <w:tcPr>
            <w:tcW w:w="1560" w:type="dxa"/>
          </w:tcPr>
          <w:p w14:paraId="6A48313C"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Breeding</w:t>
            </w:r>
          </w:p>
        </w:tc>
        <w:tc>
          <w:tcPr>
            <w:tcW w:w="1136" w:type="dxa"/>
          </w:tcPr>
          <w:p w14:paraId="6E95CBE5"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38</w:t>
            </w:r>
          </w:p>
        </w:tc>
        <w:tc>
          <w:tcPr>
            <w:tcW w:w="989" w:type="dxa"/>
          </w:tcPr>
          <w:p w14:paraId="03BC0F20"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8</w:t>
            </w:r>
          </w:p>
        </w:tc>
        <w:tc>
          <w:tcPr>
            <w:tcW w:w="2127" w:type="dxa"/>
          </w:tcPr>
          <w:p w14:paraId="609CE6B6"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4.8 (1-17)</w:t>
            </w:r>
          </w:p>
        </w:tc>
      </w:tr>
      <w:tr w:rsidR="006F6E80" w:rsidRPr="002E7B13" w14:paraId="2D93324E" w14:textId="77777777" w:rsidTr="006F6E80">
        <w:trPr>
          <w:trHeight w:val="310"/>
        </w:trPr>
        <w:tc>
          <w:tcPr>
            <w:tcW w:w="1127" w:type="dxa"/>
          </w:tcPr>
          <w:p w14:paraId="3962F5E8"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GH4Br</w:t>
            </w:r>
          </w:p>
        </w:tc>
        <w:tc>
          <w:tcPr>
            <w:tcW w:w="1702" w:type="dxa"/>
          </w:tcPr>
          <w:p w14:paraId="2480A75D"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Great Hornbill</w:t>
            </w:r>
          </w:p>
        </w:tc>
        <w:tc>
          <w:tcPr>
            <w:tcW w:w="1560" w:type="dxa"/>
          </w:tcPr>
          <w:p w14:paraId="76A16BB4"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Breeding</w:t>
            </w:r>
          </w:p>
        </w:tc>
        <w:tc>
          <w:tcPr>
            <w:tcW w:w="1136" w:type="dxa"/>
          </w:tcPr>
          <w:p w14:paraId="29ADDF30"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19</w:t>
            </w:r>
          </w:p>
        </w:tc>
        <w:tc>
          <w:tcPr>
            <w:tcW w:w="989" w:type="dxa"/>
          </w:tcPr>
          <w:p w14:paraId="0E580597"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3</w:t>
            </w:r>
          </w:p>
        </w:tc>
        <w:tc>
          <w:tcPr>
            <w:tcW w:w="2127" w:type="dxa"/>
          </w:tcPr>
          <w:p w14:paraId="61DB1A77"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6.3 (1-17)</w:t>
            </w:r>
          </w:p>
        </w:tc>
      </w:tr>
      <w:tr w:rsidR="006F6E80" w:rsidRPr="002E7B13" w14:paraId="3EDD0922" w14:textId="77777777" w:rsidTr="006F6E80">
        <w:trPr>
          <w:trHeight w:val="310"/>
        </w:trPr>
        <w:tc>
          <w:tcPr>
            <w:tcW w:w="1127" w:type="dxa"/>
          </w:tcPr>
          <w:p w14:paraId="705DAA38" w14:textId="2B9F45A9"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GH2NBr</w:t>
            </w:r>
          </w:p>
        </w:tc>
        <w:tc>
          <w:tcPr>
            <w:tcW w:w="1702" w:type="dxa"/>
          </w:tcPr>
          <w:p w14:paraId="54582220" w14:textId="184026A2"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Great Hornbill</w:t>
            </w:r>
          </w:p>
        </w:tc>
        <w:tc>
          <w:tcPr>
            <w:tcW w:w="1560" w:type="dxa"/>
          </w:tcPr>
          <w:p w14:paraId="54220229" w14:textId="7016DE34"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 xml:space="preserve">Non-breeding </w:t>
            </w:r>
          </w:p>
        </w:tc>
        <w:tc>
          <w:tcPr>
            <w:tcW w:w="1136" w:type="dxa"/>
          </w:tcPr>
          <w:p w14:paraId="37B9C53F" w14:textId="38576A6D"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30</w:t>
            </w:r>
          </w:p>
        </w:tc>
        <w:tc>
          <w:tcPr>
            <w:tcW w:w="989" w:type="dxa"/>
          </w:tcPr>
          <w:p w14:paraId="6CD0E05E" w14:textId="0C9AA30E"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11</w:t>
            </w:r>
          </w:p>
        </w:tc>
        <w:tc>
          <w:tcPr>
            <w:tcW w:w="2127" w:type="dxa"/>
          </w:tcPr>
          <w:p w14:paraId="243C783A" w14:textId="236E0031"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2.7 (1-8)</w:t>
            </w:r>
          </w:p>
        </w:tc>
      </w:tr>
      <w:tr w:rsidR="006F6E80" w:rsidRPr="002E7B13" w14:paraId="4DCFFC72" w14:textId="77777777" w:rsidTr="006F6E80">
        <w:trPr>
          <w:trHeight w:val="310"/>
        </w:trPr>
        <w:tc>
          <w:tcPr>
            <w:tcW w:w="1127" w:type="dxa"/>
          </w:tcPr>
          <w:p w14:paraId="02FDA378"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GH5NBr</w:t>
            </w:r>
          </w:p>
        </w:tc>
        <w:tc>
          <w:tcPr>
            <w:tcW w:w="1702" w:type="dxa"/>
          </w:tcPr>
          <w:p w14:paraId="5774F0DC"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Great Hornbill</w:t>
            </w:r>
          </w:p>
        </w:tc>
        <w:tc>
          <w:tcPr>
            <w:tcW w:w="1560" w:type="dxa"/>
          </w:tcPr>
          <w:p w14:paraId="3C48FF97"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 xml:space="preserve">Non-breeding </w:t>
            </w:r>
          </w:p>
        </w:tc>
        <w:tc>
          <w:tcPr>
            <w:tcW w:w="1136" w:type="dxa"/>
          </w:tcPr>
          <w:p w14:paraId="57822244"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55</w:t>
            </w:r>
          </w:p>
        </w:tc>
        <w:tc>
          <w:tcPr>
            <w:tcW w:w="989" w:type="dxa"/>
          </w:tcPr>
          <w:p w14:paraId="36695F73"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33</w:t>
            </w:r>
          </w:p>
        </w:tc>
        <w:tc>
          <w:tcPr>
            <w:tcW w:w="2127" w:type="dxa"/>
          </w:tcPr>
          <w:p w14:paraId="037F82F7" w14:textId="77777777" w:rsidR="006F6E80" w:rsidRPr="002E7B13" w:rsidRDefault="006F6E80"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1.7 (1-11)</w:t>
            </w:r>
          </w:p>
        </w:tc>
      </w:tr>
      <w:tr w:rsidR="0042138B" w:rsidRPr="002E7B13" w14:paraId="6FEFB9FA" w14:textId="77777777" w:rsidTr="006F6E80">
        <w:trPr>
          <w:trHeight w:val="310"/>
        </w:trPr>
        <w:tc>
          <w:tcPr>
            <w:tcW w:w="1127" w:type="dxa"/>
          </w:tcPr>
          <w:p w14:paraId="72F75DFC" w14:textId="12915747" w:rsidR="0042138B" w:rsidRPr="002E7B13" w:rsidRDefault="0042138B" w:rsidP="0042138B">
            <w:pPr>
              <w:spacing w:line="480" w:lineRule="auto"/>
              <w:rPr>
                <w:color w:val="000000" w:themeColor="text1"/>
              </w:rPr>
            </w:pPr>
            <w:r w:rsidRPr="002E7B13">
              <w:rPr>
                <w:rFonts w:ascii="Times New Roman" w:hAnsi="Times New Roman" w:cs="Times New Roman"/>
                <w:sz w:val="24"/>
                <w:szCs w:val="24"/>
              </w:rPr>
              <w:t>WH1Br</w:t>
            </w:r>
          </w:p>
        </w:tc>
        <w:tc>
          <w:tcPr>
            <w:tcW w:w="1702" w:type="dxa"/>
          </w:tcPr>
          <w:p w14:paraId="16DD9392" w14:textId="6CCDF4D0" w:rsidR="0042138B" w:rsidRPr="002E7B13" w:rsidRDefault="0042138B" w:rsidP="0042138B">
            <w:pPr>
              <w:spacing w:line="480" w:lineRule="auto"/>
              <w:rPr>
                <w:color w:val="000000" w:themeColor="text1"/>
              </w:rPr>
            </w:pPr>
            <w:r w:rsidRPr="002E7B13">
              <w:rPr>
                <w:rFonts w:ascii="Times New Roman" w:hAnsi="Times New Roman" w:cs="Times New Roman"/>
                <w:sz w:val="24"/>
                <w:szCs w:val="24"/>
              </w:rPr>
              <w:t>Wreathed Hornbill</w:t>
            </w:r>
          </w:p>
        </w:tc>
        <w:tc>
          <w:tcPr>
            <w:tcW w:w="1560" w:type="dxa"/>
          </w:tcPr>
          <w:p w14:paraId="4D7307CD" w14:textId="3435CE58" w:rsidR="0042138B" w:rsidRPr="002E7B13" w:rsidRDefault="0042138B" w:rsidP="0042138B">
            <w:pPr>
              <w:spacing w:line="480" w:lineRule="auto"/>
              <w:rPr>
                <w:color w:val="000000" w:themeColor="text1"/>
              </w:rPr>
            </w:pPr>
            <w:r w:rsidRPr="002E7B13">
              <w:rPr>
                <w:rFonts w:ascii="Times New Roman" w:hAnsi="Times New Roman" w:cs="Times New Roman"/>
                <w:sz w:val="24"/>
                <w:szCs w:val="24"/>
              </w:rPr>
              <w:t>Breeding</w:t>
            </w:r>
          </w:p>
        </w:tc>
        <w:tc>
          <w:tcPr>
            <w:tcW w:w="1136" w:type="dxa"/>
          </w:tcPr>
          <w:p w14:paraId="50FF336A" w14:textId="0F39C656" w:rsidR="0042138B" w:rsidRPr="002E7B13" w:rsidRDefault="0042138B" w:rsidP="0042138B">
            <w:pPr>
              <w:spacing w:line="480" w:lineRule="auto"/>
              <w:rPr>
                <w:color w:val="000000" w:themeColor="text1"/>
              </w:rPr>
            </w:pPr>
            <w:r w:rsidRPr="002E7B13">
              <w:rPr>
                <w:rFonts w:ascii="Times New Roman" w:hAnsi="Times New Roman" w:cs="Times New Roman"/>
                <w:sz w:val="24"/>
                <w:szCs w:val="24"/>
              </w:rPr>
              <w:t>72</w:t>
            </w:r>
          </w:p>
        </w:tc>
        <w:tc>
          <w:tcPr>
            <w:tcW w:w="989" w:type="dxa"/>
          </w:tcPr>
          <w:p w14:paraId="69645195" w14:textId="367A85D8" w:rsidR="0042138B" w:rsidRPr="002E7B13" w:rsidRDefault="0042138B" w:rsidP="0042138B">
            <w:pPr>
              <w:spacing w:line="480" w:lineRule="auto"/>
              <w:rPr>
                <w:color w:val="000000" w:themeColor="text1"/>
              </w:rPr>
            </w:pPr>
            <w:r w:rsidRPr="002E7B13">
              <w:rPr>
                <w:rFonts w:ascii="Times New Roman" w:hAnsi="Times New Roman" w:cs="Times New Roman"/>
                <w:sz w:val="24"/>
                <w:szCs w:val="24"/>
              </w:rPr>
              <w:t>10</w:t>
            </w:r>
          </w:p>
        </w:tc>
        <w:tc>
          <w:tcPr>
            <w:tcW w:w="2127" w:type="dxa"/>
          </w:tcPr>
          <w:p w14:paraId="489AA66F" w14:textId="156D7694" w:rsidR="0042138B" w:rsidRPr="002E7B13" w:rsidRDefault="0042138B" w:rsidP="0042138B">
            <w:pPr>
              <w:spacing w:line="480" w:lineRule="auto"/>
              <w:rPr>
                <w:color w:val="000000" w:themeColor="text1"/>
              </w:rPr>
            </w:pPr>
            <w:r w:rsidRPr="002E7B13">
              <w:rPr>
                <w:rFonts w:ascii="Times New Roman" w:hAnsi="Times New Roman" w:cs="Times New Roman"/>
                <w:sz w:val="24"/>
                <w:szCs w:val="24"/>
              </w:rPr>
              <w:t>7.2 (1-18)</w:t>
            </w:r>
          </w:p>
        </w:tc>
      </w:tr>
      <w:tr w:rsidR="0042138B" w:rsidRPr="002E7B13" w14:paraId="7A1DA44A" w14:textId="77777777" w:rsidTr="006F6E80">
        <w:trPr>
          <w:trHeight w:val="310"/>
        </w:trPr>
        <w:tc>
          <w:tcPr>
            <w:tcW w:w="1127" w:type="dxa"/>
          </w:tcPr>
          <w:p w14:paraId="3F147C87" w14:textId="77777777" w:rsidR="0042138B" w:rsidRPr="002E7B13" w:rsidRDefault="0042138B" w:rsidP="0042138B">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Total</w:t>
            </w:r>
          </w:p>
        </w:tc>
        <w:tc>
          <w:tcPr>
            <w:tcW w:w="1702" w:type="dxa"/>
          </w:tcPr>
          <w:p w14:paraId="0FFA1C17" w14:textId="77777777" w:rsidR="0042138B" w:rsidRPr="002E7B13" w:rsidRDefault="0042138B" w:rsidP="0042138B">
            <w:pPr>
              <w:spacing w:line="480" w:lineRule="auto"/>
              <w:jc w:val="left"/>
              <w:rPr>
                <w:rFonts w:ascii="Times New Roman" w:hAnsi="Times New Roman" w:cs="Times New Roman"/>
                <w:color w:val="000000" w:themeColor="text1"/>
                <w:sz w:val="24"/>
                <w:szCs w:val="24"/>
              </w:rPr>
            </w:pPr>
          </w:p>
        </w:tc>
        <w:tc>
          <w:tcPr>
            <w:tcW w:w="1560" w:type="dxa"/>
          </w:tcPr>
          <w:p w14:paraId="0914580E" w14:textId="77777777" w:rsidR="0042138B" w:rsidRPr="002E7B13" w:rsidRDefault="0042138B" w:rsidP="0042138B">
            <w:pPr>
              <w:spacing w:line="480" w:lineRule="auto"/>
              <w:jc w:val="left"/>
              <w:rPr>
                <w:rFonts w:ascii="Times New Roman" w:hAnsi="Times New Roman" w:cs="Times New Roman"/>
                <w:color w:val="000000" w:themeColor="text1"/>
                <w:sz w:val="24"/>
                <w:szCs w:val="24"/>
              </w:rPr>
            </w:pPr>
          </w:p>
        </w:tc>
        <w:tc>
          <w:tcPr>
            <w:tcW w:w="1136" w:type="dxa"/>
          </w:tcPr>
          <w:p w14:paraId="6C82BF50" w14:textId="77777777" w:rsidR="0042138B" w:rsidRPr="002E7B13" w:rsidRDefault="0042138B" w:rsidP="0042138B">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142</w:t>
            </w:r>
          </w:p>
        </w:tc>
        <w:tc>
          <w:tcPr>
            <w:tcW w:w="989" w:type="dxa"/>
          </w:tcPr>
          <w:p w14:paraId="6EF26309" w14:textId="77777777" w:rsidR="0042138B" w:rsidRPr="002E7B13" w:rsidRDefault="0042138B" w:rsidP="0042138B">
            <w:pPr>
              <w:spacing w:line="480" w:lineRule="auto"/>
              <w:jc w:val="left"/>
              <w:rPr>
                <w:rFonts w:ascii="Times New Roman" w:hAnsi="Times New Roman" w:cs="Times New Roman"/>
                <w:color w:val="000000" w:themeColor="text1"/>
                <w:sz w:val="24"/>
                <w:szCs w:val="24"/>
              </w:rPr>
            </w:pPr>
          </w:p>
        </w:tc>
        <w:tc>
          <w:tcPr>
            <w:tcW w:w="2127" w:type="dxa"/>
          </w:tcPr>
          <w:p w14:paraId="63CE3D97" w14:textId="77777777" w:rsidR="0042138B" w:rsidRPr="002E7B13" w:rsidRDefault="0042138B" w:rsidP="0042138B">
            <w:pPr>
              <w:spacing w:line="480" w:lineRule="auto"/>
              <w:jc w:val="left"/>
              <w:rPr>
                <w:rFonts w:ascii="Times New Roman" w:hAnsi="Times New Roman" w:cs="Times New Roman"/>
                <w:color w:val="000000" w:themeColor="text1"/>
                <w:sz w:val="24"/>
                <w:szCs w:val="24"/>
              </w:rPr>
            </w:pPr>
          </w:p>
        </w:tc>
      </w:tr>
    </w:tbl>
    <w:p w14:paraId="58D4FDF3" w14:textId="77777777" w:rsidR="005F4A00" w:rsidRPr="002E7B13" w:rsidRDefault="005F4A00" w:rsidP="002E7B13">
      <w:pPr>
        <w:suppressAutoHyphens w:val="0"/>
        <w:spacing w:line="480" w:lineRule="auto"/>
      </w:pPr>
      <w:r w:rsidRPr="002E7B13">
        <w:br w:type="page"/>
      </w:r>
    </w:p>
    <w:p w14:paraId="6F5E5AA3" w14:textId="41AB422D" w:rsidR="008B118D" w:rsidRPr="002E7B13" w:rsidRDefault="005F4A00" w:rsidP="002E7B13">
      <w:pPr>
        <w:pageBreakBefore/>
        <w:spacing w:line="480" w:lineRule="auto"/>
      </w:pPr>
      <w:r w:rsidRPr="0042138B">
        <w:rPr>
          <w:b/>
          <w:color w:val="000000" w:themeColor="text1"/>
        </w:rPr>
        <w:lastRenderedPageBreak/>
        <w:t>Table S2.</w:t>
      </w:r>
      <w:r w:rsidRPr="002E7B13">
        <w:rPr>
          <w:color w:val="000000" w:themeColor="text1"/>
        </w:rPr>
        <w:t xml:space="preserve"> </w:t>
      </w:r>
      <w:r w:rsidR="008B118D" w:rsidRPr="002E7B13">
        <w:t xml:space="preserve">The average (± </w:t>
      </w:r>
      <w:r w:rsidR="008B118D" w:rsidRPr="003D6F92">
        <w:rPr>
          <w:i/>
        </w:rPr>
        <w:t>SD</w:t>
      </w:r>
      <w:r w:rsidR="008B118D" w:rsidRPr="002E7B13">
        <w:t xml:space="preserve"> and range) distance (in metres) between roost sites on consecutive days for the different hornbill individuals and the mean (range) number of consecutive days when the birds used the same roost, and the number of days for which roost data from consecutive days was available is also given. * </w:t>
      </w:r>
      <w:r w:rsidR="008B118D" w:rsidRPr="002E7B13">
        <w:rPr>
          <w:b/>
          <w:bCs/>
          <w:color w:val="000000"/>
        </w:rPr>
        <w:t>–</w:t>
      </w:r>
      <w:r w:rsidR="008B118D" w:rsidRPr="002E7B13">
        <w:t xml:space="preserve"> Number of days for which the roost data was available for successive nights. This number is different from the number of days for which the roost data is available (which is summarized in Table 1) since no roost data was available for some nights during the tracking period.</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67"/>
        <w:gridCol w:w="1768"/>
        <w:gridCol w:w="1557"/>
        <w:gridCol w:w="2547"/>
        <w:gridCol w:w="1263"/>
      </w:tblGrid>
      <w:tr w:rsidR="008B118D" w:rsidRPr="002E7B13" w14:paraId="052488D1" w14:textId="77777777" w:rsidTr="00152F22">
        <w:trPr>
          <w:trHeight w:val="325"/>
        </w:trPr>
        <w:tc>
          <w:tcPr>
            <w:tcW w:w="1767" w:type="dxa"/>
          </w:tcPr>
          <w:p w14:paraId="104E0BBD" w14:textId="77777777" w:rsidR="008B118D" w:rsidRPr="002E7B13" w:rsidRDefault="008B118D" w:rsidP="002E7B13">
            <w:pPr>
              <w:spacing w:line="480" w:lineRule="auto"/>
              <w:jc w:val="left"/>
              <w:rPr>
                <w:rFonts w:ascii="Times New Roman" w:hAnsi="Times New Roman" w:cs="Times New Roman"/>
                <w:bCs/>
                <w:color w:val="000000" w:themeColor="text1"/>
                <w:sz w:val="24"/>
                <w:szCs w:val="24"/>
              </w:rPr>
            </w:pPr>
            <w:r w:rsidRPr="002E7B13">
              <w:rPr>
                <w:rFonts w:ascii="Times New Roman" w:hAnsi="Times New Roman" w:cs="Times New Roman"/>
                <w:bCs/>
                <w:color w:val="000000" w:themeColor="text1"/>
                <w:sz w:val="24"/>
                <w:szCs w:val="24"/>
              </w:rPr>
              <w:t>Individual</w:t>
            </w:r>
          </w:p>
        </w:tc>
        <w:tc>
          <w:tcPr>
            <w:tcW w:w="1768" w:type="dxa"/>
          </w:tcPr>
          <w:p w14:paraId="1D24FFF8" w14:textId="77777777" w:rsidR="008B118D" w:rsidRPr="002E7B13" w:rsidRDefault="008B118D" w:rsidP="002E7B13">
            <w:pPr>
              <w:spacing w:line="480" w:lineRule="auto"/>
              <w:jc w:val="left"/>
              <w:rPr>
                <w:rFonts w:ascii="Times New Roman" w:hAnsi="Times New Roman" w:cs="Times New Roman"/>
                <w:bCs/>
                <w:color w:val="000000" w:themeColor="text1"/>
                <w:sz w:val="24"/>
                <w:szCs w:val="24"/>
              </w:rPr>
            </w:pPr>
            <w:r w:rsidRPr="002E7B13">
              <w:rPr>
                <w:rFonts w:ascii="Times New Roman" w:hAnsi="Times New Roman" w:cs="Times New Roman"/>
                <w:bCs/>
                <w:color w:val="000000" w:themeColor="text1"/>
                <w:sz w:val="24"/>
                <w:szCs w:val="24"/>
              </w:rPr>
              <w:t>Mean (</w:t>
            </w:r>
            <w:r w:rsidRPr="002E7B13">
              <w:rPr>
                <w:rFonts w:ascii="Times New Roman" w:hAnsi="Times New Roman" w:cs="Times New Roman"/>
                <w:color w:val="000000" w:themeColor="text1"/>
                <w:sz w:val="24"/>
                <w:szCs w:val="24"/>
              </w:rPr>
              <w:t xml:space="preserve">± </w:t>
            </w:r>
            <w:r w:rsidRPr="003D6F92">
              <w:rPr>
                <w:rFonts w:ascii="Times New Roman" w:hAnsi="Times New Roman" w:cs="Times New Roman"/>
                <w:bCs/>
                <w:i/>
                <w:color w:val="000000" w:themeColor="text1"/>
                <w:sz w:val="24"/>
                <w:szCs w:val="24"/>
              </w:rPr>
              <w:t>SD</w:t>
            </w:r>
            <w:r w:rsidRPr="002E7B13">
              <w:rPr>
                <w:rFonts w:ascii="Times New Roman" w:hAnsi="Times New Roman" w:cs="Times New Roman"/>
                <w:bCs/>
                <w:color w:val="000000" w:themeColor="text1"/>
                <w:sz w:val="24"/>
                <w:szCs w:val="24"/>
              </w:rPr>
              <w:t>) distance between roost sites on successive nights (m)</w:t>
            </w:r>
          </w:p>
        </w:tc>
        <w:tc>
          <w:tcPr>
            <w:tcW w:w="1557" w:type="dxa"/>
          </w:tcPr>
          <w:p w14:paraId="2F7C8A50" w14:textId="77777777" w:rsidR="008B118D" w:rsidRPr="002E7B13" w:rsidRDefault="008B118D" w:rsidP="002E7B13">
            <w:pPr>
              <w:spacing w:line="480" w:lineRule="auto"/>
              <w:jc w:val="left"/>
              <w:rPr>
                <w:rFonts w:ascii="Times New Roman" w:hAnsi="Times New Roman" w:cs="Times New Roman"/>
                <w:bCs/>
                <w:color w:val="000000" w:themeColor="text1"/>
                <w:sz w:val="24"/>
                <w:szCs w:val="24"/>
              </w:rPr>
            </w:pPr>
            <w:r w:rsidRPr="002E7B13">
              <w:rPr>
                <w:rFonts w:ascii="Times New Roman" w:hAnsi="Times New Roman" w:cs="Times New Roman"/>
                <w:bCs/>
                <w:color w:val="000000" w:themeColor="text1"/>
                <w:sz w:val="24"/>
                <w:szCs w:val="24"/>
              </w:rPr>
              <w:t>Range (minimum – maximum) distance between roost sites on successive nights (m)</w:t>
            </w:r>
          </w:p>
        </w:tc>
        <w:tc>
          <w:tcPr>
            <w:tcW w:w="2547" w:type="dxa"/>
          </w:tcPr>
          <w:p w14:paraId="57D2E1E6" w14:textId="77777777" w:rsidR="008B118D" w:rsidRPr="002E7B13" w:rsidRDefault="008B118D" w:rsidP="002E7B13">
            <w:pPr>
              <w:spacing w:line="480" w:lineRule="auto"/>
              <w:jc w:val="left"/>
              <w:rPr>
                <w:rFonts w:ascii="Times New Roman" w:hAnsi="Times New Roman" w:cs="Times New Roman"/>
                <w:bCs/>
                <w:color w:val="000000" w:themeColor="text1"/>
                <w:sz w:val="24"/>
                <w:szCs w:val="24"/>
              </w:rPr>
            </w:pPr>
            <w:r w:rsidRPr="002E7B13">
              <w:rPr>
                <w:rFonts w:ascii="Times New Roman" w:hAnsi="Times New Roman" w:cs="Times New Roman"/>
                <w:bCs/>
                <w:color w:val="000000" w:themeColor="text1"/>
                <w:sz w:val="24"/>
                <w:szCs w:val="24"/>
              </w:rPr>
              <w:t>Mean (range) number of successive nights when the bird used the same roost</w:t>
            </w:r>
          </w:p>
        </w:tc>
        <w:tc>
          <w:tcPr>
            <w:tcW w:w="1263" w:type="dxa"/>
          </w:tcPr>
          <w:p w14:paraId="50310F4B" w14:textId="77777777" w:rsidR="008B118D" w:rsidRPr="002E7B13" w:rsidRDefault="008B118D" w:rsidP="002E7B13">
            <w:pPr>
              <w:spacing w:line="480" w:lineRule="auto"/>
              <w:jc w:val="left"/>
              <w:rPr>
                <w:rFonts w:ascii="Times New Roman" w:hAnsi="Times New Roman" w:cs="Times New Roman"/>
                <w:bCs/>
                <w:color w:val="000000" w:themeColor="text1"/>
                <w:sz w:val="24"/>
                <w:szCs w:val="24"/>
              </w:rPr>
            </w:pPr>
            <w:r w:rsidRPr="002E7B13">
              <w:rPr>
                <w:rFonts w:ascii="Times New Roman" w:hAnsi="Times New Roman" w:cs="Times New Roman"/>
                <w:bCs/>
                <w:color w:val="000000" w:themeColor="text1"/>
                <w:sz w:val="24"/>
                <w:szCs w:val="24"/>
              </w:rPr>
              <w:t>Number of days for which data was available*</w:t>
            </w:r>
          </w:p>
        </w:tc>
      </w:tr>
      <w:tr w:rsidR="008B118D" w:rsidRPr="002E7B13" w14:paraId="60F2D37C" w14:textId="77777777" w:rsidTr="00152F22">
        <w:trPr>
          <w:trHeight w:val="325"/>
        </w:trPr>
        <w:tc>
          <w:tcPr>
            <w:tcW w:w="1767" w:type="dxa"/>
          </w:tcPr>
          <w:p w14:paraId="24D3DF77"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GH3Br</w:t>
            </w:r>
          </w:p>
        </w:tc>
        <w:tc>
          <w:tcPr>
            <w:tcW w:w="1768" w:type="dxa"/>
          </w:tcPr>
          <w:p w14:paraId="6F3094D8"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327.9 (234.7)</w:t>
            </w:r>
          </w:p>
        </w:tc>
        <w:tc>
          <w:tcPr>
            <w:tcW w:w="1557" w:type="dxa"/>
          </w:tcPr>
          <w:p w14:paraId="35CB20A6"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17.8 – 709.3</w:t>
            </w:r>
          </w:p>
        </w:tc>
        <w:tc>
          <w:tcPr>
            <w:tcW w:w="2547" w:type="dxa"/>
          </w:tcPr>
          <w:p w14:paraId="4CB055A6"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3.5 (2 – 5)</w:t>
            </w:r>
          </w:p>
        </w:tc>
        <w:tc>
          <w:tcPr>
            <w:tcW w:w="1263" w:type="dxa"/>
          </w:tcPr>
          <w:p w14:paraId="23D296E0"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30</w:t>
            </w:r>
          </w:p>
        </w:tc>
      </w:tr>
      <w:tr w:rsidR="008B118D" w:rsidRPr="002E7B13" w14:paraId="6DA6A59A" w14:textId="77777777" w:rsidTr="00152F22">
        <w:trPr>
          <w:trHeight w:val="325"/>
        </w:trPr>
        <w:tc>
          <w:tcPr>
            <w:tcW w:w="1767" w:type="dxa"/>
          </w:tcPr>
          <w:p w14:paraId="5EA81A28"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GH4Br</w:t>
            </w:r>
          </w:p>
        </w:tc>
        <w:tc>
          <w:tcPr>
            <w:tcW w:w="1768" w:type="dxa"/>
          </w:tcPr>
          <w:p w14:paraId="72004FC3"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130.3 (199.1)</w:t>
            </w:r>
          </w:p>
        </w:tc>
        <w:tc>
          <w:tcPr>
            <w:tcW w:w="1557" w:type="dxa"/>
          </w:tcPr>
          <w:p w14:paraId="1100E6E0"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3.3 – 601.8</w:t>
            </w:r>
          </w:p>
        </w:tc>
        <w:tc>
          <w:tcPr>
            <w:tcW w:w="2547" w:type="dxa"/>
          </w:tcPr>
          <w:p w14:paraId="6AA5DCBD"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5.3 (5 – 6)</w:t>
            </w:r>
          </w:p>
        </w:tc>
        <w:tc>
          <w:tcPr>
            <w:tcW w:w="1263" w:type="dxa"/>
          </w:tcPr>
          <w:p w14:paraId="781235CB"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18</w:t>
            </w:r>
          </w:p>
        </w:tc>
      </w:tr>
      <w:tr w:rsidR="008B118D" w:rsidRPr="002E7B13" w14:paraId="7CF3E743" w14:textId="77777777" w:rsidTr="00152F22">
        <w:trPr>
          <w:trHeight w:val="325"/>
        </w:trPr>
        <w:tc>
          <w:tcPr>
            <w:tcW w:w="1767" w:type="dxa"/>
          </w:tcPr>
          <w:p w14:paraId="2D2C04B3"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GH2NBr</w:t>
            </w:r>
          </w:p>
        </w:tc>
        <w:tc>
          <w:tcPr>
            <w:tcW w:w="1768" w:type="dxa"/>
          </w:tcPr>
          <w:p w14:paraId="0CBD1555"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232.6 (302.0)</w:t>
            </w:r>
          </w:p>
        </w:tc>
        <w:tc>
          <w:tcPr>
            <w:tcW w:w="1557" w:type="dxa"/>
          </w:tcPr>
          <w:p w14:paraId="4CE80A3C" w14:textId="5AC24A9F"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12.6 – 1</w:t>
            </w:r>
            <w:r w:rsidR="00D4674E">
              <w:rPr>
                <w:rFonts w:ascii="Times New Roman" w:hAnsi="Times New Roman" w:cs="Times New Roman"/>
                <w:color w:val="000000" w:themeColor="text1"/>
                <w:sz w:val="24"/>
                <w:szCs w:val="24"/>
              </w:rPr>
              <w:t>,</w:t>
            </w:r>
            <w:r w:rsidRPr="002E7B13">
              <w:rPr>
                <w:rFonts w:ascii="Times New Roman" w:hAnsi="Times New Roman" w:cs="Times New Roman"/>
                <w:color w:val="000000" w:themeColor="text1"/>
                <w:sz w:val="24"/>
                <w:szCs w:val="24"/>
              </w:rPr>
              <w:t>183.1</w:t>
            </w:r>
          </w:p>
        </w:tc>
        <w:tc>
          <w:tcPr>
            <w:tcW w:w="2547" w:type="dxa"/>
          </w:tcPr>
          <w:p w14:paraId="7CDD8E03"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4.7 (3 – 7)</w:t>
            </w:r>
          </w:p>
        </w:tc>
        <w:tc>
          <w:tcPr>
            <w:tcW w:w="1263" w:type="dxa"/>
          </w:tcPr>
          <w:p w14:paraId="5A9E10B5"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16</w:t>
            </w:r>
          </w:p>
        </w:tc>
      </w:tr>
      <w:tr w:rsidR="008B118D" w:rsidRPr="002E7B13" w14:paraId="40C023FE" w14:textId="77777777" w:rsidTr="00152F22">
        <w:trPr>
          <w:trHeight w:val="325"/>
        </w:trPr>
        <w:tc>
          <w:tcPr>
            <w:tcW w:w="1767" w:type="dxa"/>
          </w:tcPr>
          <w:p w14:paraId="33FBEAAE"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GH5NBr</w:t>
            </w:r>
          </w:p>
        </w:tc>
        <w:tc>
          <w:tcPr>
            <w:tcW w:w="1768" w:type="dxa"/>
          </w:tcPr>
          <w:p w14:paraId="6266DA11" w14:textId="441F216A"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1</w:t>
            </w:r>
            <w:r w:rsidR="00D4674E">
              <w:rPr>
                <w:rFonts w:ascii="Times New Roman" w:hAnsi="Times New Roman" w:cs="Times New Roman"/>
                <w:color w:val="000000" w:themeColor="text1"/>
                <w:sz w:val="24"/>
                <w:szCs w:val="24"/>
              </w:rPr>
              <w:t>,</w:t>
            </w:r>
            <w:r w:rsidRPr="002E7B13">
              <w:rPr>
                <w:rFonts w:ascii="Times New Roman" w:hAnsi="Times New Roman" w:cs="Times New Roman"/>
                <w:color w:val="000000" w:themeColor="text1"/>
                <w:sz w:val="24"/>
                <w:szCs w:val="24"/>
              </w:rPr>
              <w:t>050.6 (1</w:t>
            </w:r>
            <w:r w:rsidR="00D4674E">
              <w:rPr>
                <w:rFonts w:ascii="Times New Roman" w:hAnsi="Times New Roman" w:cs="Times New Roman"/>
                <w:color w:val="000000" w:themeColor="text1"/>
                <w:sz w:val="24"/>
                <w:szCs w:val="24"/>
              </w:rPr>
              <w:t>,</w:t>
            </w:r>
            <w:r w:rsidRPr="002E7B13">
              <w:rPr>
                <w:rFonts w:ascii="Times New Roman" w:hAnsi="Times New Roman" w:cs="Times New Roman"/>
                <w:color w:val="000000" w:themeColor="text1"/>
                <w:sz w:val="24"/>
                <w:szCs w:val="24"/>
              </w:rPr>
              <w:t>034.6)</w:t>
            </w:r>
          </w:p>
        </w:tc>
        <w:tc>
          <w:tcPr>
            <w:tcW w:w="1557" w:type="dxa"/>
          </w:tcPr>
          <w:p w14:paraId="1EC8BB9C" w14:textId="569A0758"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5.0 – 4</w:t>
            </w:r>
            <w:r w:rsidR="00D4674E">
              <w:rPr>
                <w:rFonts w:ascii="Times New Roman" w:hAnsi="Times New Roman" w:cs="Times New Roman"/>
                <w:color w:val="000000" w:themeColor="text1"/>
                <w:sz w:val="24"/>
                <w:szCs w:val="24"/>
              </w:rPr>
              <w:t>,</w:t>
            </w:r>
            <w:r w:rsidRPr="002E7B13">
              <w:rPr>
                <w:rFonts w:ascii="Times New Roman" w:hAnsi="Times New Roman" w:cs="Times New Roman"/>
                <w:color w:val="000000" w:themeColor="text1"/>
                <w:sz w:val="24"/>
                <w:szCs w:val="24"/>
              </w:rPr>
              <w:t>318.7</w:t>
            </w:r>
          </w:p>
        </w:tc>
        <w:tc>
          <w:tcPr>
            <w:tcW w:w="2547" w:type="dxa"/>
          </w:tcPr>
          <w:p w14:paraId="15D205B3"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2.6 (2 – 5)</w:t>
            </w:r>
          </w:p>
        </w:tc>
        <w:tc>
          <w:tcPr>
            <w:tcW w:w="1263" w:type="dxa"/>
          </w:tcPr>
          <w:p w14:paraId="35315615" w14:textId="77777777" w:rsidR="008B118D" w:rsidRPr="002E7B13" w:rsidRDefault="008B118D" w:rsidP="002E7B13">
            <w:pPr>
              <w:spacing w:line="480" w:lineRule="auto"/>
              <w:jc w:val="left"/>
              <w:rPr>
                <w:rFonts w:ascii="Times New Roman" w:hAnsi="Times New Roman" w:cs="Times New Roman"/>
                <w:color w:val="000000" w:themeColor="text1"/>
                <w:sz w:val="24"/>
                <w:szCs w:val="24"/>
              </w:rPr>
            </w:pPr>
            <w:r w:rsidRPr="002E7B13">
              <w:rPr>
                <w:rFonts w:ascii="Times New Roman" w:hAnsi="Times New Roman" w:cs="Times New Roman"/>
                <w:color w:val="000000" w:themeColor="text1"/>
                <w:sz w:val="24"/>
                <w:szCs w:val="24"/>
              </w:rPr>
              <w:t>47</w:t>
            </w:r>
          </w:p>
        </w:tc>
      </w:tr>
      <w:tr w:rsidR="0042138B" w:rsidRPr="002E7B13" w14:paraId="59B96CEF" w14:textId="77777777" w:rsidTr="00152F22">
        <w:trPr>
          <w:trHeight w:val="325"/>
        </w:trPr>
        <w:tc>
          <w:tcPr>
            <w:tcW w:w="1767" w:type="dxa"/>
          </w:tcPr>
          <w:p w14:paraId="3E3D147E" w14:textId="103CA86D" w:rsidR="0042138B" w:rsidRPr="002E7B13" w:rsidRDefault="0042138B" w:rsidP="0042138B">
            <w:pPr>
              <w:spacing w:line="480" w:lineRule="auto"/>
              <w:rPr>
                <w:color w:val="000000" w:themeColor="text1"/>
              </w:rPr>
            </w:pPr>
            <w:r w:rsidRPr="002E7B13">
              <w:rPr>
                <w:rFonts w:ascii="Times New Roman" w:hAnsi="Times New Roman" w:cs="Times New Roman"/>
                <w:color w:val="000000"/>
                <w:sz w:val="24"/>
                <w:szCs w:val="24"/>
              </w:rPr>
              <w:t>WH1Br</w:t>
            </w:r>
          </w:p>
        </w:tc>
        <w:tc>
          <w:tcPr>
            <w:tcW w:w="1768" w:type="dxa"/>
          </w:tcPr>
          <w:p w14:paraId="4847EC22" w14:textId="02162096" w:rsidR="0042138B" w:rsidRPr="002E7B13" w:rsidRDefault="0042138B" w:rsidP="0042138B">
            <w:pPr>
              <w:spacing w:line="480" w:lineRule="auto"/>
              <w:rPr>
                <w:color w:val="000000" w:themeColor="text1"/>
              </w:rPr>
            </w:pPr>
            <w:r w:rsidRPr="002E7B13">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2E7B13">
              <w:rPr>
                <w:rFonts w:ascii="Times New Roman" w:hAnsi="Times New Roman" w:cs="Times New Roman"/>
                <w:color w:val="000000"/>
                <w:sz w:val="24"/>
                <w:szCs w:val="24"/>
              </w:rPr>
              <w:t>305.2 (1</w:t>
            </w:r>
            <w:r>
              <w:rPr>
                <w:rFonts w:ascii="Times New Roman" w:hAnsi="Times New Roman" w:cs="Times New Roman"/>
                <w:color w:val="000000"/>
                <w:sz w:val="24"/>
                <w:szCs w:val="24"/>
              </w:rPr>
              <w:t>,</w:t>
            </w:r>
            <w:r w:rsidRPr="002E7B13">
              <w:rPr>
                <w:rFonts w:ascii="Times New Roman" w:hAnsi="Times New Roman" w:cs="Times New Roman"/>
                <w:color w:val="000000"/>
                <w:sz w:val="24"/>
                <w:szCs w:val="24"/>
              </w:rPr>
              <w:t>575.0)</w:t>
            </w:r>
          </w:p>
        </w:tc>
        <w:tc>
          <w:tcPr>
            <w:tcW w:w="1557" w:type="dxa"/>
          </w:tcPr>
          <w:p w14:paraId="0A3A9D56" w14:textId="25ECDCCE" w:rsidR="0042138B" w:rsidRPr="002E7B13" w:rsidRDefault="0042138B" w:rsidP="0042138B">
            <w:pPr>
              <w:spacing w:line="480" w:lineRule="auto"/>
              <w:rPr>
                <w:color w:val="000000" w:themeColor="text1"/>
              </w:rPr>
            </w:pPr>
            <w:r w:rsidRPr="002E7B13">
              <w:rPr>
                <w:rFonts w:ascii="Times New Roman" w:hAnsi="Times New Roman" w:cs="Times New Roman"/>
                <w:color w:val="000000"/>
                <w:sz w:val="24"/>
                <w:szCs w:val="24"/>
              </w:rPr>
              <w:t>3.1 – 4</w:t>
            </w:r>
            <w:r>
              <w:rPr>
                <w:rFonts w:ascii="Times New Roman" w:hAnsi="Times New Roman" w:cs="Times New Roman"/>
                <w:color w:val="000000"/>
                <w:sz w:val="24"/>
                <w:szCs w:val="24"/>
              </w:rPr>
              <w:t>,</w:t>
            </w:r>
            <w:r w:rsidRPr="002E7B13">
              <w:rPr>
                <w:rFonts w:ascii="Times New Roman" w:hAnsi="Times New Roman" w:cs="Times New Roman"/>
                <w:color w:val="000000"/>
                <w:sz w:val="24"/>
                <w:szCs w:val="24"/>
              </w:rPr>
              <w:t>698.7</w:t>
            </w:r>
          </w:p>
        </w:tc>
        <w:tc>
          <w:tcPr>
            <w:tcW w:w="2547" w:type="dxa"/>
          </w:tcPr>
          <w:p w14:paraId="05B29C93" w14:textId="0ADF9B2A" w:rsidR="0042138B" w:rsidRPr="002E7B13" w:rsidRDefault="0042138B" w:rsidP="0042138B">
            <w:pPr>
              <w:spacing w:line="480" w:lineRule="auto"/>
              <w:rPr>
                <w:color w:val="000000" w:themeColor="text1"/>
              </w:rPr>
            </w:pPr>
            <w:r w:rsidRPr="002E7B13">
              <w:rPr>
                <w:rFonts w:ascii="Times New Roman" w:hAnsi="Times New Roman" w:cs="Times New Roman"/>
                <w:color w:val="000000"/>
                <w:sz w:val="24"/>
                <w:szCs w:val="24"/>
              </w:rPr>
              <w:t>3.8 (2 – 6)</w:t>
            </w:r>
          </w:p>
        </w:tc>
        <w:tc>
          <w:tcPr>
            <w:tcW w:w="1263" w:type="dxa"/>
          </w:tcPr>
          <w:p w14:paraId="302D6CF3" w14:textId="3F5059F2" w:rsidR="0042138B" w:rsidRPr="002E7B13" w:rsidRDefault="0042138B" w:rsidP="0042138B">
            <w:pPr>
              <w:spacing w:line="480" w:lineRule="auto"/>
              <w:rPr>
                <w:color w:val="000000" w:themeColor="text1"/>
              </w:rPr>
            </w:pPr>
            <w:r w:rsidRPr="002E7B13">
              <w:rPr>
                <w:rFonts w:ascii="Times New Roman" w:hAnsi="Times New Roman" w:cs="Times New Roman"/>
                <w:color w:val="000000"/>
                <w:sz w:val="24"/>
                <w:szCs w:val="24"/>
              </w:rPr>
              <w:t>70</w:t>
            </w:r>
          </w:p>
        </w:tc>
      </w:tr>
    </w:tbl>
    <w:p w14:paraId="6996A0C6" w14:textId="77777777" w:rsidR="007C6E3D" w:rsidRPr="002E7B13" w:rsidRDefault="007C6E3D" w:rsidP="002E7B13">
      <w:pPr>
        <w:spacing w:line="480" w:lineRule="auto"/>
      </w:pPr>
    </w:p>
    <w:p w14:paraId="4A0DEB11" w14:textId="77777777" w:rsidR="007C6E3D" w:rsidRPr="002E7B13" w:rsidRDefault="007C6E3D" w:rsidP="002E7B13">
      <w:pPr>
        <w:suppressAutoHyphens w:val="0"/>
        <w:spacing w:line="480" w:lineRule="auto"/>
      </w:pPr>
      <w:r w:rsidRPr="002E7B13">
        <w:br w:type="page"/>
      </w:r>
    </w:p>
    <w:p w14:paraId="08CCCB06" w14:textId="5B6985E4" w:rsidR="00EC5E8F" w:rsidRPr="002E7B13" w:rsidRDefault="00EC5E8F" w:rsidP="002E7B13">
      <w:pPr>
        <w:spacing w:line="480" w:lineRule="auto"/>
      </w:pPr>
      <w:r w:rsidRPr="002E7B13">
        <w:rPr>
          <w:noProof/>
          <w:lang w:val="en-GB" w:eastAsia="en-GB"/>
        </w:rPr>
        <w:lastRenderedPageBreak/>
        <w:drawing>
          <wp:inline distT="0" distB="0" distL="0" distR="0" wp14:anchorId="79BD604D" wp14:editId="71246B85">
            <wp:extent cx="5727700" cy="409765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6"/>
                    <a:stretch>
                      <a:fillRect/>
                    </a:stretch>
                  </pic:blipFill>
                  <pic:spPr bwMode="auto">
                    <a:xfrm>
                      <a:off x="0" y="0"/>
                      <a:ext cx="5727700" cy="4097655"/>
                    </a:xfrm>
                    <a:prstGeom prst="rect">
                      <a:avLst/>
                    </a:prstGeom>
                    <a:noFill/>
                    <a:ln w="9525">
                      <a:noFill/>
                      <a:miter lim="800000"/>
                      <a:headEnd/>
                      <a:tailEnd/>
                    </a:ln>
                  </pic:spPr>
                </pic:pic>
              </a:graphicData>
            </a:graphic>
          </wp:inline>
        </w:drawing>
      </w:r>
    </w:p>
    <w:p w14:paraId="33955D01" w14:textId="5D1C3870" w:rsidR="00EC5E8F" w:rsidRPr="002E7B13" w:rsidRDefault="00EC5E8F" w:rsidP="002E7B13">
      <w:pPr>
        <w:spacing w:line="480" w:lineRule="auto"/>
      </w:pPr>
      <w:r w:rsidRPr="002E7B13">
        <w:rPr>
          <w:noProof/>
          <w:lang w:val="en-GB" w:eastAsia="en-GB"/>
        </w:rPr>
        <w:drawing>
          <wp:inline distT="0" distB="0" distL="0" distR="0" wp14:anchorId="1D3DCFC5" wp14:editId="6758752E">
            <wp:extent cx="5727700" cy="409765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7"/>
                    <a:stretch>
                      <a:fillRect/>
                    </a:stretch>
                  </pic:blipFill>
                  <pic:spPr bwMode="auto">
                    <a:xfrm>
                      <a:off x="0" y="0"/>
                      <a:ext cx="5727700" cy="4097655"/>
                    </a:xfrm>
                    <a:prstGeom prst="rect">
                      <a:avLst/>
                    </a:prstGeom>
                    <a:noFill/>
                    <a:ln w="9525">
                      <a:noFill/>
                      <a:miter lim="800000"/>
                      <a:headEnd/>
                      <a:tailEnd/>
                    </a:ln>
                  </pic:spPr>
                </pic:pic>
              </a:graphicData>
            </a:graphic>
          </wp:inline>
        </w:drawing>
      </w:r>
    </w:p>
    <w:p w14:paraId="1EAE19ED" w14:textId="3577B026" w:rsidR="006F6E80" w:rsidRPr="002E7B13" w:rsidRDefault="006F6E80" w:rsidP="002E7B13">
      <w:pPr>
        <w:spacing w:line="480" w:lineRule="auto"/>
      </w:pPr>
      <w:r w:rsidRPr="002E7B13">
        <w:rPr>
          <w:noProof/>
          <w:lang w:val="en-GB" w:eastAsia="en-GB"/>
        </w:rPr>
        <w:lastRenderedPageBreak/>
        <w:drawing>
          <wp:inline distT="0" distB="0" distL="0" distR="0" wp14:anchorId="4BAD6A43" wp14:editId="56D2589E">
            <wp:extent cx="5727700" cy="409765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8"/>
                    <a:stretch>
                      <a:fillRect/>
                    </a:stretch>
                  </pic:blipFill>
                  <pic:spPr bwMode="auto">
                    <a:xfrm>
                      <a:off x="0" y="0"/>
                      <a:ext cx="5727700" cy="4097655"/>
                    </a:xfrm>
                    <a:prstGeom prst="rect">
                      <a:avLst/>
                    </a:prstGeom>
                    <a:noFill/>
                    <a:ln w="9525">
                      <a:noFill/>
                      <a:miter lim="800000"/>
                      <a:headEnd/>
                      <a:tailEnd/>
                    </a:ln>
                  </pic:spPr>
                </pic:pic>
              </a:graphicData>
            </a:graphic>
          </wp:inline>
        </w:drawing>
      </w:r>
    </w:p>
    <w:p w14:paraId="041DAF35" w14:textId="1540B3F7" w:rsidR="00EC5E8F" w:rsidRDefault="00EC5E8F" w:rsidP="002E7B13">
      <w:pPr>
        <w:spacing w:line="480" w:lineRule="auto"/>
      </w:pPr>
      <w:r w:rsidRPr="002E7B13">
        <w:rPr>
          <w:noProof/>
          <w:lang w:val="en-GB" w:eastAsia="en-GB"/>
        </w:rPr>
        <w:drawing>
          <wp:inline distT="0" distB="0" distL="0" distR="0" wp14:anchorId="479463E4" wp14:editId="22C8F72C">
            <wp:extent cx="5727700" cy="4097655"/>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9"/>
                    <a:stretch>
                      <a:fillRect/>
                    </a:stretch>
                  </pic:blipFill>
                  <pic:spPr bwMode="auto">
                    <a:xfrm>
                      <a:off x="0" y="0"/>
                      <a:ext cx="5727700" cy="4097655"/>
                    </a:xfrm>
                    <a:prstGeom prst="rect">
                      <a:avLst/>
                    </a:prstGeom>
                    <a:noFill/>
                    <a:ln w="9525">
                      <a:noFill/>
                      <a:miter lim="800000"/>
                      <a:headEnd/>
                      <a:tailEnd/>
                    </a:ln>
                  </pic:spPr>
                </pic:pic>
              </a:graphicData>
            </a:graphic>
          </wp:inline>
        </w:drawing>
      </w:r>
    </w:p>
    <w:p w14:paraId="6E44C6F8" w14:textId="329FD6BC" w:rsidR="0035345F" w:rsidRPr="002E7B13" w:rsidRDefault="0035345F" w:rsidP="002E7B13">
      <w:pPr>
        <w:spacing w:line="480" w:lineRule="auto"/>
      </w:pPr>
      <w:r w:rsidRPr="002E7B13">
        <w:rPr>
          <w:noProof/>
          <w:lang w:val="en-GB" w:eastAsia="en-GB"/>
        </w:rPr>
        <w:lastRenderedPageBreak/>
        <w:drawing>
          <wp:inline distT="0" distB="0" distL="0" distR="0" wp14:anchorId="38FDC5EF" wp14:editId="7A9F4148">
            <wp:extent cx="5727700" cy="4097655"/>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0"/>
                    <a:stretch>
                      <a:fillRect/>
                    </a:stretch>
                  </pic:blipFill>
                  <pic:spPr bwMode="auto">
                    <a:xfrm>
                      <a:off x="0" y="0"/>
                      <a:ext cx="5727700" cy="4097655"/>
                    </a:xfrm>
                    <a:prstGeom prst="rect">
                      <a:avLst/>
                    </a:prstGeom>
                    <a:noFill/>
                    <a:ln w="9525">
                      <a:noFill/>
                      <a:miter lim="800000"/>
                      <a:headEnd/>
                      <a:tailEnd/>
                    </a:ln>
                  </pic:spPr>
                </pic:pic>
              </a:graphicData>
            </a:graphic>
          </wp:inline>
        </w:drawing>
      </w:r>
    </w:p>
    <w:p w14:paraId="218F241B" w14:textId="74F8AB2B" w:rsidR="005F4A00" w:rsidRPr="002E7B13" w:rsidRDefault="005F4A00" w:rsidP="002E7B13">
      <w:pPr>
        <w:spacing w:line="480" w:lineRule="auto"/>
      </w:pPr>
      <w:r w:rsidRPr="0035345F">
        <w:rPr>
          <w:b/>
        </w:rPr>
        <w:t>Figure S1.</w:t>
      </w:r>
      <w:r w:rsidRPr="002E7B13">
        <w:rPr>
          <w:b/>
        </w:rPr>
        <w:t xml:space="preserve"> </w:t>
      </w:r>
      <w:r w:rsidRPr="002E7B13">
        <w:t xml:space="preserve">Map showing the roost and nest locations of the five individual hornbills (Great Hornbill non-breeding: GH2NBr and GH5NBr; Great Hornbill breeding: GH3Br and GH4Br; Wreathed Hornbill breeding: WH1Br). The roost locations comprise of all roost sites (across different days) within 200 m from each other and were identified using hierarchical cluster analysis. Nest locations have been marked with a yellow pin. The roost sites most used by the different individual birds have been marked with a star. Area north of the black line is the </w:t>
      </w:r>
      <w:proofErr w:type="spellStart"/>
      <w:r w:rsidRPr="002E7B13">
        <w:t>Pakke</w:t>
      </w:r>
      <w:proofErr w:type="spellEnd"/>
      <w:r w:rsidRPr="002E7B13">
        <w:t xml:space="preserve"> Tiger Reserve where the study was carried out and south of the black line is the </w:t>
      </w:r>
      <w:proofErr w:type="spellStart"/>
      <w:r w:rsidRPr="002E7B13">
        <w:t>Nameri</w:t>
      </w:r>
      <w:proofErr w:type="spellEnd"/>
      <w:r w:rsidRPr="002E7B13">
        <w:t xml:space="preserve"> Tiger Reserve in the adjoining state of Assam. Since the maps contain information on nest and roost sites of individual birds (some of which are still active), geographic coordinates for the maps have not been provided. </w:t>
      </w:r>
      <w:r w:rsidR="006F6E80" w:rsidRPr="002E7B13">
        <w:t xml:space="preserve">Three breeding birds are featured first followed by non-breeding birds. </w:t>
      </w:r>
    </w:p>
    <w:p w14:paraId="4C265FE8" w14:textId="77777777" w:rsidR="005F4A00" w:rsidRPr="002E7B13" w:rsidRDefault="005F4A00" w:rsidP="002E7B13">
      <w:pPr>
        <w:suppressAutoHyphens w:val="0"/>
        <w:spacing w:line="480" w:lineRule="auto"/>
      </w:pPr>
      <w:r w:rsidRPr="002E7B13">
        <w:br w:type="page"/>
      </w:r>
    </w:p>
    <w:p w14:paraId="60DE0DE6" w14:textId="4E060F89" w:rsidR="005F4A00" w:rsidRPr="002E7B13" w:rsidRDefault="0035345F" w:rsidP="002E7B13">
      <w:pPr>
        <w:spacing w:line="480" w:lineRule="auto"/>
        <w:rPr>
          <w:color w:val="333333"/>
          <w:shd w:val="clear" w:color="auto" w:fill="FFFFFF"/>
        </w:rPr>
      </w:pPr>
      <w:r>
        <w:rPr>
          <w:noProof/>
          <w:color w:val="000000" w:themeColor="text1"/>
          <w:shd w:val="clear" w:color="auto" w:fill="FFFFFF"/>
        </w:rPr>
        <w:lastRenderedPageBreak/>
        <w:drawing>
          <wp:inline distT="0" distB="0" distL="0" distR="0" wp14:anchorId="598ED116" wp14:editId="0DC49DEA">
            <wp:extent cx="5731176" cy="544588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2_kernel_density.pdf"/>
                    <pic:cNvPicPr/>
                  </pic:nvPicPr>
                  <pic:blipFill rotWithShape="1">
                    <a:blip r:embed="rId11">
                      <a:extLst>
                        <a:ext uri="{28A0092B-C50C-407E-A947-70E740481C1C}">
                          <a14:useLocalDpi xmlns:a14="http://schemas.microsoft.com/office/drawing/2010/main" val="0"/>
                        </a:ext>
                      </a:extLst>
                    </a:blip>
                    <a:srcRect t="1" b="34217"/>
                    <a:stretch/>
                  </pic:blipFill>
                  <pic:spPr bwMode="auto">
                    <a:xfrm>
                      <a:off x="0" y="0"/>
                      <a:ext cx="5731510" cy="5446207"/>
                    </a:xfrm>
                    <a:prstGeom prst="rect">
                      <a:avLst/>
                    </a:prstGeom>
                    <a:ln>
                      <a:noFill/>
                    </a:ln>
                    <a:extLst>
                      <a:ext uri="{53640926-AAD7-44D8-BBD7-CCE9431645EC}">
                        <a14:shadowObscured xmlns:a14="http://schemas.microsoft.com/office/drawing/2010/main"/>
                      </a:ext>
                    </a:extLst>
                  </pic:spPr>
                </pic:pic>
              </a:graphicData>
            </a:graphic>
          </wp:inline>
        </w:drawing>
      </w:r>
      <w:r w:rsidR="005F4A00" w:rsidRPr="002E7B13">
        <w:rPr>
          <w:color w:val="000000" w:themeColor="text1"/>
          <w:shd w:val="clear" w:color="auto" w:fill="FFFFFF"/>
        </w:rPr>
        <w:t xml:space="preserve"> </w:t>
      </w:r>
      <w:r w:rsidR="005F4A00" w:rsidRPr="0035345F">
        <w:rPr>
          <w:b/>
          <w:color w:val="333333"/>
          <w:shd w:val="clear" w:color="auto" w:fill="FFFFFF"/>
        </w:rPr>
        <w:t xml:space="preserve">Figure </w:t>
      </w:r>
      <w:r w:rsidR="006F6E80" w:rsidRPr="0035345F">
        <w:rPr>
          <w:b/>
          <w:color w:val="333333"/>
          <w:shd w:val="clear" w:color="auto" w:fill="FFFFFF"/>
        </w:rPr>
        <w:t>S</w:t>
      </w:r>
      <w:r w:rsidR="005F4A00" w:rsidRPr="0035345F">
        <w:rPr>
          <w:b/>
          <w:color w:val="333333"/>
          <w:shd w:val="clear" w:color="auto" w:fill="FFFFFF"/>
        </w:rPr>
        <w:t>2.</w:t>
      </w:r>
      <w:r w:rsidR="005F4A00" w:rsidRPr="002E7B13">
        <w:rPr>
          <w:color w:val="333333"/>
          <w:shd w:val="clear" w:color="auto" w:fill="FFFFFF"/>
        </w:rPr>
        <w:t xml:space="preserve"> All the roost locations of hornbills (except one roost location for GH4Br) are within the 95% (area enclosed within the black line) kernel density diurnal activity range for the five hornbills but not necessarily within the 50% kernel density activity range (area shown in grey). The locations used for the kernel density diurnal activity range estimation are those between 0500–1700 h for the five hornbills, thereby excluding the roost locations. The black dots are the roost locations of the bird identified using hierarchical cluster analysis. One roost location for GH4Br which was outside the 95% kernel density diurnal activity range is not shown since it was used for only one night and it was far away from its activity range. Coordinates on the map represent the north and east latitudes and longitudes respectively.  </w:t>
      </w:r>
    </w:p>
    <w:p w14:paraId="1D35CD82" w14:textId="09A3E057" w:rsidR="005F4A00" w:rsidRPr="002E7B13" w:rsidRDefault="0035345F" w:rsidP="002E7B13">
      <w:pPr>
        <w:spacing w:line="480" w:lineRule="auto"/>
        <w:rPr>
          <w:color w:val="000000" w:themeColor="text1"/>
          <w:shd w:val="clear" w:color="auto" w:fill="FFFFFF"/>
        </w:rPr>
      </w:pPr>
      <w:r>
        <w:rPr>
          <w:noProof/>
          <w:color w:val="000000" w:themeColor="text1"/>
          <w:shd w:val="clear" w:color="auto" w:fill="FFFFFF"/>
        </w:rPr>
        <w:lastRenderedPageBreak/>
        <w:drawing>
          <wp:inline distT="0" distB="0" distL="0" distR="0" wp14:anchorId="6EE22FE3" wp14:editId="6022688E">
            <wp:extent cx="5731262" cy="589151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3_Roosting_Pakke_mean_displacement_15_min_interval.pdf"/>
                    <pic:cNvPicPr/>
                  </pic:nvPicPr>
                  <pic:blipFill rotWithShape="1">
                    <a:blip r:embed="rId12">
                      <a:extLst>
                        <a:ext uri="{28A0092B-C50C-407E-A947-70E740481C1C}">
                          <a14:useLocalDpi xmlns:a14="http://schemas.microsoft.com/office/drawing/2010/main" val="0"/>
                        </a:ext>
                      </a:extLst>
                    </a:blip>
                    <a:srcRect b="28836"/>
                    <a:stretch/>
                  </pic:blipFill>
                  <pic:spPr bwMode="auto">
                    <a:xfrm>
                      <a:off x="0" y="0"/>
                      <a:ext cx="5731510" cy="5891769"/>
                    </a:xfrm>
                    <a:prstGeom prst="rect">
                      <a:avLst/>
                    </a:prstGeom>
                    <a:ln>
                      <a:noFill/>
                    </a:ln>
                    <a:extLst>
                      <a:ext uri="{53640926-AAD7-44D8-BBD7-CCE9431645EC}">
                        <a14:shadowObscured xmlns:a14="http://schemas.microsoft.com/office/drawing/2010/main"/>
                      </a:ext>
                    </a:extLst>
                  </pic:spPr>
                </pic:pic>
              </a:graphicData>
            </a:graphic>
          </wp:inline>
        </w:drawing>
      </w:r>
    </w:p>
    <w:p w14:paraId="62DF31FB" w14:textId="6EE44B3F" w:rsidR="00D63C79" w:rsidRDefault="005F4A00" w:rsidP="002E7B13">
      <w:pPr>
        <w:spacing w:line="480" w:lineRule="auto"/>
        <w:rPr>
          <w:color w:val="333333"/>
          <w:shd w:val="clear" w:color="auto" w:fill="FFFFFF"/>
        </w:rPr>
      </w:pPr>
      <w:r w:rsidRPr="0035345F">
        <w:rPr>
          <w:b/>
          <w:color w:val="333333"/>
          <w:shd w:val="clear" w:color="auto" w:fill="FFFFFF"/>
        </w:rPr>
        <w:t>Figure S3.</w:t>
      </w:r>
      <w:r w:rsidRPr="002E7B13">
        <w:rPr>
          <w:color w:val="333333"/>
          <w:shd w:val="clear" w:color="auto" w:fill="FFFFFF"/>
        </w:rPr>
        <w:t xml:space="preserve"> Mean displacement in a 15-min time interval for the five hornbill individuals. GH3Br and GH4Br are breeding Great Hornbills, GH2NBr and GH5NBr are non-breeding Great Hornbills with the former tagged in </w:t>
      </w:r>
      <w:r w:rsidR="000C6959">
        <w:rPr>
          <w:color w:val="333333"/>
          <w:shd w:val="clear" w:color="auto" w:fill="FFFFFF"/>
        </w:rPr>
        <w:t xml:space="preserve">November (which is </w:t>
      </w:r>
      <w:r w:rsidRPr="002E7B13">
        <w:rPr>
          <w:color w:val="333333"/>
          <w:shd w:val="clear" w:color="auto" w:fill="FFFFFF"/>
        </w:rPr>
        <w:t xml:space="preserve">the </w:t>
      </w:r>
      <w:r w:rsidR="000C6959">
        <w:rPr>
          <w:color w:val="333333"/>
          <w:shd w:val="clear" w:color="auto" w:fill="FFFFFF"/>
        </w:rPr>
        <w:t>non-breeding</w:t>
      </w:r>
      <w:r w:rsidRPr="002E7B13">
        <w:rPr>
          <w:color w:val="333333"/>
          <w:shd w:val="clear" w:color="auto" w:fill="FFFFFF"/>
        </w:rPr>
        <w:t xml:space="preserve"> season</w:t>
      </w:r>
      <w:r w:rsidR="000C6959">
        <w:rPr>
          <w:color w:val="333333"/>
          <w:shd w:val="clear" w:color="auto" w:fill="FFFFFF"/>
        </w:rPr>
        <w:t>)</w:t>
      </w:r>
      <w:r w:rsidRPr="002E7B13">
        <w:rPr>
          <w:color w:val="333333"/>
          <w:shd w:val="clear" w:color="auto" w:fill="FFFFFF"/>
        </w:rPr>
        <w:t xml:space="preserve"> and the latter in </w:t>
      </w:r>
      <w:r w:rsidR="000C6959">
        <w:rPr>
          <w:color w:val="333333"/>
          <w:shd w:val="clear" w:color="auto" w:fill="FFFFFF"/>
        </w:rPr>
        <w:t>March</w:t>
      </w:r>
      <w:r w:rsidRPr="002E7B13">
        <w:rPr>
          <w:color w:val="333333"/>
          <w:shd w:val="clear" w:color="auto" w:fill="FFFFFF"/>
        </w:rPr>
        <w:t xml:space="preserve"> (which coincides with the breeding season). WH1Br is the breeding Wreathed Hornbill. There is a spike in the displacement just after and before the bird leaves the roost. It indicated that birds travel a long distance after they leave the roost in the morning and before returning to the roost in the evening. </w:t>
      </w:r>
    </w:p>
    <w:p w14:paraId="472795DD" w14:textId="42607599" w:rsidR="009E5C0F" w:rsidRDefault="009E5C0F" w:rsidP="002E7B13">
      <w:pPr>
        <w:spacing w:line="480" w:lineRule="auto"/>
        <w:rPr>
          <w:color w:val="333333"/>
          <w:shd w:val="clear" w:color="auto" w:fill="FFFFFF"/>
        </w:rPr>
      </w:pPr>
    </w:p>
    <w:p w14:paraId="098C37A4" w14:textId="43C72AEF" w:rsidR="009E5C0F" w:rsidRDefault="009E5C0F" w:rsidP="002E7B13">
      <w:pPr>
        <w:spacing w:line="480" w:lineRule="auto"/>
        <w:rPr>
          <w:b/>
          <w:color w:val="333333"/>
          <w:shd w:val="clear" w:color="auto" w:fill="FFFFFF"/>
        </w:rPr>
      </w:pPr>
      <w:r w:rsidRPr="009E5C0F">
        <w:rPr>
          <w:b/>
          <w:color w:val="333333"/>
          <w:shd w:val="clear" w:color="auto" w:fill="FFFFFF"/>
        </w:rPr>
        <w:lastRenderedPageBreak/>
        <w:t>LITERATURE CITED</w:t>
      </w:r>
    </w:p>
    <w:p w14:paraId="38C8A0ED" w14:textId="77777777" w:rsidR="009E5C0F" w:rsidRPr="009E5C0F" w:rsidRDefault="009E5C0F" w:rsidP="009E5C0F">
      <w:pPr>
        <w:pStyle w:val="Bibliography"/>
        <w:rPr>
          <w:color w:val="000000"/>
          <w:lang w:val="en-US"/>
        </w:rPr>
      </w:pPr>
      <w:r>
        <w:rPr>
          <w:b/>
          <w:color w:val="333333"/>
          <w:shd w:val="clear" w:color="auto" w:fill="FFFFFF"/>
        </w:rPr>
        <w:fldChar w:fldCharType="begin"/>
      </w:r>
      <w:r>
        <w:rPr>
          <w:b/>
          <w:color w:val="333333"/>
          <w:shd w:val="clear" w:color="auto" w:fill="FFFFFF"/>
        </w:rPr>
        <w:instrText xml:space="preserve"> ADDIN ZOTERO_BIBL {"uncited":[],"omitted":[],"custom":[]} CSL_BIBLIOGRAPHY </w:instrText>
      </w:r>
      <w:r>
        <w:rPr>
          <w:b/>
          <w:color w:val="333333"/>
          <w:shd w:val="clear" w:color="auto" w:fill="FFFFFF"/>
        </w:rPr>
        <w:fldChar w:fldCharType="separate"/>
      </w:r>
      <w:r w:rsidRPr="009E5C0F">
        <w:rPr>
          <w:color w:val="000000"/>
          <w:lang w:val="en-US"/>
        </w:rPr>
        <w:t xml:space="preserve">Hemson, G., Johnson, P., South, A., Kenward, R., Ripley, R., &amp; Macdonald, D. (2005). Are kernels the mustard? Data from global positioning system (GPS) collars suggests problems for kernel home-range analyses with least-squares cross-validation. </w:t>
      </w:r>
      <w:r w:rsidRPr="009E5C0F">
        <w:rPr>
          <w:i/>
          <w:iCs/>
          <w:color w:val="000000"/>
          <w:lang w:val="en-US"/>
        </w:rPr>
        <w:t>Journal of Animal Ecology</w:t>
      </w:r>
      <w:r w:rsidRPr="009E5C0F">
        <w:rPr>
          <w:color w:val="000000"/>
          <w:lang w:val="en-US"/>
        </w:rPr>
        <w:t xml:space="preserve">, </w:t>
      </w:r>
      <w:r w:rsidRPr="009E5C0F">
        <w:rPr>
          <w:i/>
          <w:iCs/>
          <w:color w:val="000000"/>
          <w:lang w:val="en-US"/>
        </w:rPr>
        <w:t>74</w:t>
      </w:r>
      <w:r w:rsidRPr="009E5C0F">
        <w:rPr>
          <w:color w:val="000000"/>
          <w:lang w:val="en-US"/>
        </w:rPr>
        <w:t>(3), 455–463. https://doi.org/10.1111/j.1365-2656.2005.00944.x</w:t>
      </w:r>
    </w:p>
    <w:p w14:paraId="03D279AB" w14:textId="77777777" w:rsidR="009E5C0F" w:rsidRPr="009E5C0F" w:rsidRDefault="009E5C0F" w:rsidP="009E5C0F">
      <w:pPr>
        <w:pStyle w:val="Bibliography"/>
        <w:rPr>
          <w:color w:val="000000"/>
          <w:lang w:val="en-US"/>
        </w:rPr>
      </w:pPr>
      <w:r w:rsidRPr="009E5C0F">
        <w:rPr>
          <w:color w:val="000000"/>
          <w:lang w:val="en-US"/>
        </w:rPr>
        <w:t xml:space="preserve">Kays, R., Jansen, P. A., Knecht, E. M. H., Vohwinkel, R., &amp; Wikelski, M. (2011). The effect of feeding time on dispersal of </w:t>
      </w:r>
      <w:r w:rsidRPr="009E5C0F">
        <w:rPr>
          <w:i/>
          <w:color w:val="000000"/>
          <w:lang w:val="en-US"/>
        </w:rPr>
        <w:t xml:space="preserve">Virola </w:t>
      </w:r>
      <w:r w:rsidRPr="009E5C0F">
        <w:rPr>
          <w:color w:val="000000"/>
          <w:lang w:val="en-US"/>
        </w:rPr>
        <w:t xml:space="preserve">seeds by toucans determined from GPS tracking and accelerometers. </w:t>
      </w:r>
      <w:r w:rsidRPr="009E5C0F">
        <w:rPr>
          <w:i/>
          <w:iCs/>
          <w:color w:val="000000"/>
          <w:lang w:val="en-US"/>
        </w:rPr>
        <w:t>Acta Oecologica</w:t>
      </w:r>
      <w:r w:rsidRPr="009E5C0F">
        <w:rPr>
          <w:color w:val="000000"/>
          <w:lang w:val="en-US"/>
        </w:rPr>
        <w:t xml:space="preserve">, </w:t>
      </w:r>
      <w:r w:rsidRPr="009E5C0F">
        <w:rPr>
          <w:i/>
          <w:iCs/>
          <w:color w:val="000000"/>
          <w:lang w:val="en-US"/>
        </w:rPr>
        <w:t>37</w:t>
      </w:r>
      <w:r w:rsidRPr="009E5C0F">
        <w:rPr>
          <w:color w:val="000000"/>
          <w:lang w:val="en-US"/>
        </w:rPr>
        <w:t>(6), 625–631. https://doi.org/10.1016/j.actao.2011.06.007</w:t>
      </w:r>
    </w:p>
    <w:p w14:paraId="3C92593B" w14:textId="77777777" w:rsidR="009E5C0F" w:rsidRPr="009E5C0F" w:rsidRDefault="009E5C0F" w:rsidP="009E5C0F">
      <w:pPr>
        <w:pStyle w:val="Bibliography"/>
        <w:rPr>
          <w:color w:val="000000"/>
          <w:lang w:val="en-US"/>
        </w:rPr>
      </w:pPr>
      <w:r w:rsidRPr="009E5C0F">
        <w:rPr>
          <w:color w:val="000000"/>
          <w:lang w:val="en-US"/>
        </w:rPr>
        <w:t>Keartumsom, Y., Chimchome, V., Poonswad, P., Pattanavibool, A., &amp; Pongpattananurak, N. (2011). Home range of Great Hornbill (</w:t>
      </w:r>
      <w:r w:rsidRPr="009E5C0F">
        <w:rPr>
          <w:i/>
          <w:color w:val="000000"/>
          <w:lang w:val="en-US"/>
        </w:rPr>
        <w:t>Buceros bicornis</w:t>
      </w:r>
      <w:r w:rsidRPr="009E5C0F">
        <w:rPr>
          <w:color w:val="000000"/>
          <w:lang w:val="en-US"/>
        </w:rPr>
        <w:t xml:space="preserve"> Linnaeus, 1758) and Wreathed Hornbill (</w:t>
      </w:r>
      <w:r w:rsidRPr="009E5C0F">
        <w:rPr>
          <w:i/>
          <w:color w:val="000000"/>
          <w:lang w:val="en-US"/>
        </w:rPr>
        <w:t>Rhyticeros undulatus</w:t>
      </w:r>
      <w:r w:rsidRPr="009E5C0F">
        <w:rPr>
          <w:color w:val="000000"/>
          <w:lang w:val="en-US"/>
        </w:rPr>
        <w:t xml:space="preserve"> (Shaw) 1881) in non-breeding season at Khao Yai National Park, Nakhon Ratchasima Province. </w:t>
      </w:r>
      <w:r w:rsidRPr="009E5C0F">
        <w:rPr>
          <w:i/>
          <w:iCs/>
          <w:color w:val="000000"/>
          <w:lang w:val="en-US"/>
        </w:rPr>
        <w:t>Journal of Wildlife in Thailand</w:t>
      </w:r>
      <w:r w:rsidRPr="009E5C0F">
        <w:rPr>
          <w:color w:val="000000"/>
          <w:lang w:val="en-US"/>
        </w:rPr>
        <w:t xml:space="preserve">, </w:t>
      </w:r>
      <w:r w:rsidRPr="009E5C0F">
        <w:rPr>
          <w:i/>
          <w:iCs/>
          <w:color w:val="000000"/>
          <w:lang w:val="en-US"/>
        </w:rPr>
        <w:t>18</w:t>
      </w:r>
      <w:r w:rsidRPr="009E5C0F">
        <w:rPr>
          <w:color w:val="000000"/>
          <w:lang w:val="en-US"/>
        </w:rPr>
        <w:t>, 47–55.</w:t>
      </w:r>
    </w:p>
    <w:p w14:paraId="55760A8B" w14:textId="77777777" w:rsidR="009E5C0F" w:rsidRPr="009E5C0F" w:rsidRDefault="009E5C0F" w:rsidP="009E5C0F">
      <w:pPr>
        <w:pStyle w:val="Bibliography"/>
        <w:rPr>
          <w:color w:val="000000"/>
          <w:lang w:val="en-US"/>
        </w:rPr>
      </w:pPr>
      <w:r w:rsidRPr="009E5C0F">
        <w:rPr>
          <w:color w:val="000000"/>
          <w:lang w:val="en-US"/>
        </w:rPr>
        <w:t xml:space="preserve">Lenz, J., Fiedler, W., Caprano, T., Friedrichs, W., Gaese, B. H., Wikelski, M., &amp; Böhning-Gaese, K. (2011). Seed-dispersal distributions by trumpeter hornbills in fragmented landscapes. </w:t>
      </w:r>
      <w:r w:rsidRPr="009E5C0F">
        <w:rPr>
          <w:i/>
          <w:iCs/>
          <w:color w:val="000000"/>
          <w:lang w:val="en-US"/>
        </w:rPr>
        <w:t>Proceedings of the Royal Society B</w:t>
      </w:r>
      <w:r w:rsidRPr="009E5C0F">
        <w:rPr>
          <w:color w:val="000000"/>
          <w:lang w:val="en-US"/>
        </w:rPr>
        <w:t xml:space="preserve">, </w:t>
      </w:r>
      <w:r w:rsidRPr="009E5C0F">
        <w:rPr>
          <w:i/>
          <w:iCs/>
          <w:color w:val="000000"/>
          <w:lang w:val="en-US"/>
        </w:rPr>
        <w:t>278</w:t>
      </w:r>
      <w:r w:rsidRPr="009E5C0F">
        <w:rPr>
          <w:color w:val="000000"/>
          <w:lang w:val="en-US"/>
        </w:rPr>
        <w:t>(1716), 2257–2264. https://doi.org/10.1098/rspb.2010.2383</w:t>
      </w:r>
    </w:p>
    <w:p w14:paraId="2C7F55BB" w14:textId="77777777" w:rsidR="009E5C0F" w:rsidRPr="009E5C0F" w:rsidRDefault="009E5C0F" w:rsidP="009E5C0F">
      <w:pPr>
        <w:pStyle w:val="Bibliography"/>
        <w:rPr>
          <w:color w:val="000000"/>
          <w:lang w:val="en-US"/>
        </w:rPr>
      </w:pPr>
      <w:r w:rsidRPr="009E5C0F">
        <w:rPr>
          <w:color w:val="000000"/>
          <w:lang w:val="en-US"/>
        </w:rPr>
        <w:t xml:space="preserve">Naniwadekar, R., Rathore, A., Shukla, U., Chaplod, S., &amp; Datta, A. (2019). How far do Asian forest hornbills disperse seeds? </w:t>
      </w:r>
      <w:r w:rsidRPr="009E5C0F">
        <w:rPr>
          <w:i/>
          <w:iCs/>
          <w:color w:val="000000"/>
          <w:lang w:val="en-US"/>
        </w:rPr>
        <w:t>Acta Oecologica</w:t>
      </w:r>
      <w:r w:rsidRPr="009E5C0F">
        <w:rPr>
          <w:color w:val="000000"/>
          <w:lang w:val="en-US"/>
        </w:rPr>
        <w:t xml:space="preserve">, </w:t>
      </w:r>
      <w:r w:rsidRPr="009E5C0F">
        <w:rPr>
          <w:i/>
          <w:iCs/>
          <w:color w:val="000000"/>
          <w:lang w:val="en-US"/>
        </w:rPr>
        <w:t>101</w:t>
      </w:r>
      <w:r w:rsidRPr="009E5C0F">
        <w:rPr>
          <w:color w:val="000000"/>
          <w:lang w:val="en-US"/>
        </w:rPr>
        <w:t>, 103482. https://doi.org/10.1016/j.actao.2019.103482</w:t>
      </w:r>
    </w:p>
    <w:p w14:paraId="2C08BB9B" w14:textId="77777777" w:rsidR="009E5C0F" w:rsidRPr="009E5C0F" w:rsidRDefault="009E5C0F" w:rsidP="009E5C0F">
      <w:pPr>
        <w:pStyle w:val="Bibliography"/>
        <w:rPr>
          <w:color w:val="000000"/>
          <w:lang w:val="en-US"/>
        </w:rPr>
      </w:pPr>
      <w:r w:rsidRPr="009E5C0F">
        <w:rPr>
          <w:color w:val="000000"/>
          <w:lang w:val="en-US"/>
        </w:rPr>
        <w:t xml:space="preserve">Shukla, U., Naniwadekar, R., Rathore, A., &amp; Datta, A. (2018). Variability in gut passage times of Asian hornbills for large-seeded tree species. </w:t>
      </w:r>
      <w:r w:rsidRPr="009E5C0F">
        <w:rPr>
          <w:i/>
          <w:iCs/>
          <w:color w:val="000000"/>
          <w:lang w:val="en-US"/>
        </w:rPr>
        <w:t>The Sarawak Museum Journal</w:t>
      </w:r>
      <w:r w:rsidRPr="009E5C0F">
        <w:rPr>
          <w:color w:val="000000"/>
          <w:lang w:val="en-US"/>
        </w:rPr>
        <w:t xml:space="preserve">, </w:t>
      </w:r>
      <w:r w:rsidRPr="009E5C0F">
        <w:rPr>
          <w:i/>
          <w:iCs/>
          <w:color w:val="000000"/>
          <w:lang w:val="en-US"/>
        </w:rPr>
        <w:t>100</w:t>
      </w:r>
      <w:r w:rsidRPr="009E5C0F">
        <w:rPr>
          <w:color w:val="000000"/>
          <w:lang w:val="en-US"/>
        </w:rPr>
        <w:t>, 167–194.</w:t>
      </w:r>
    </w:p>
    <w:p w14:paraId="6611E686" w14:textId="77777777" w:rsidR="009E5C0F" w:rsidRPr="009E5C0F" w:rsidRDefault="009E5C0F" w:rsidP="009E5C0F">
      <w:pPr>
        <w:pStyle w:val="Bibliography"/>
        <w:rPr>
          <w:color w:val="000000"/>
          <w:lang w:val="en-US"/>
        </w:rPr>
      </w:pPr>
      <w:r w:rsidRPr="009E5C0F">
        <w:rPr>
          <w:color w:val="000000"/>
          <w:lang w:val="en-US"/>
        </w:rPr>
        <w:lastRenderedPageBreak/>
        <w:t xml:space="preserve">Watts, B. D., &amp; Turrin, C. (2017). Mapping bald eagle activity shadows around communal roosts. </w:t>
      </w:r>
      <w:r w:rsidRPr="009E5C0F">
        <w:rPr>
          <w:i/>
          <w:iCs/>
          <w:color w:val="000000"/>
          <w:lang w:val="en-US"/>
        </w:rPr>
        <w:t>The Journal of Wildlife Management</w:t>
      </w:r>
      <w:r w:rsidRPr="009E5C0F">
        <w:rPr>
          <w:color w:val="000000"/>
          <w:lang w:val="en-US"/>
        </w:rPr>
        <w:t xml:space="preserve">, </w:t>
      </w:r>
      <w:r w:rsidRPr="009E5C0F">
        <w:rPr>
          <w:i/>
          <w:iCs/>
          <w:color w:val="000000"/>
          <w:lang w:val="en-US"/>
        </w:rPr>
        <w:t>81</w:t>
      </w:r>
      <w:r w:rsidRPr="009E5C0F">
        <w:rPr>
          <w:color w:val="000000"/>
          <w:lang w:val="en-US"/>
        </w:rPr>
        <w:t>(5), 928–937. https://doi.org/10.1002/jwmg.21263</w:t>
      </w:r>
    </w:p>
    <w:p w14:paraId="57C58BE1" w14:textId="77777777" w:rsidR="009E5C0F" w:rsidRPr="009E5C0F" w:rsidRDefault="009E5C0F" w:rsidP="009E5C0F">
      <w:pPr>
        <w:pStyle w:val="Bibliography"/>
        <w:rPr>
          <w:color w:val="000000"/>
          <w:lang w:val="en-US"/>
        </w:rPr>
      </w:pPr>
      <w:r w:rsidRPr="009E5C0F">
        <w:rPr>
          <w:color w:val="000000"/>
          <w:lang w:val="en-US"/>
        </w:rPr>
        <w:t xml:space="preserve">Westcott, D., Bentrupperbaumer, J., Bradford, M. G., &amp; McKeown, A. (2005). Incorporating patterns of disperser behaviour into models of seed dispersal and its effects on estimated dispersal curves. </w:t>
      </w:r>
      <w:r w:rsidRPr="009E5C0F">
        <w:rPr>
          <w:i/>
          <w:iCs/>
          <w:color w:val="000000"/>
          <w:lang w:val="en-US"/>
        </w:rPr>
        <w:t>Oecologia</w:t>
      </w:r>
      <w:r w:rsidRPr="009E5C0F">
        <w:rPr>
          <w:color w:val="000000"/>
          <w:lang w:val="en-US"/>
        </w:rPr>
        <w:t xml:space="preserve">, </w:t>
      </w:r>
      <w:r w:rsidRPr="009E5C0F">
        <w:rPr>
          <w:i/>
          <w:iCs/>
          <w:color w:val="000000"/>
          <w:lang w:val="en-US"/>
        </w:rPr>
        <w:t>146</w:t>
      </w:r>
      <w:r w:rsidRPr="009E5C0F">
        <w:rPr>
          <w:color w:val="000000"/>
          <w:lang w:val="en-US"/>
        </w:rPr>
        <w:t>, 57–67. https://doi.org/10.1007/s00442-005-0178-1</w:t>
      </w:r>
    </w:p>
    <w:p w14:paraId="5094117A" w14:textId="77777777" w:rsidR="009E5C0F" w:rsidRPr="009E5C0F" w:rsidRDefault="009E5C0F" w:rsidP="009E5C0F">
      <w:pPr>
        <w:pStyle w:val="Bibliography"/>
        <w:rPr>
          <w:color w:val="000000"/>
          <w:lang w:val="en-US"/>
        </w:rPr>
      </w:pPr>
      <w:r w:rsidRPr="009E5C0F">
        <w:rPr>
          <w:color w:val="000000"/>
          <w:lang w:val="en-US"/>
        </w:rPr>
        <w:t xml:space="preserve">Worton, B. J. (1995). Using Monte Carlo simulation to evaluate kernel-based home range estimators. </w:t>
      </w:r>
      <w:r w:rsidRPr="009E5C0F">
        <w:rPr>
          <w:i/>
          <w:iCs/>
          <w:color w:val="000000"/>
          <w:lang w:val="en-US"/>
        </w:rPr>
        <w:t>The Journal of Wildlife Management</w:t>
      </w:r>
      <w:r w:rsidRPr="009E5C0F">
        <w:rPr>
          <w:color w:val="000000"/>
          <w:lang w:val="en-US"/>
        </w:rPr>
        <w:t xml:space="preserve">, </w:t>
      </w:r>
      <w:r w:rsidRPr="009E5C0F">
        <w:rPr>
          <w:i/>
          <w:iCs/>
          <w:color w:val="000000"/>
          <w:lang w:val="en-US"/>
        </w:rPr>
        <w:t>59</w:t>
      </w:r>
      <w:r w:rsidRPr="009E5C0F">
        <w:rPr>
          <w:color w:val="000000"/>
          <w:lang w:val="en-US"/>
        </w:rPr>
        <w:t>(4), 794–800. JSTOR. https://doi.org/10.2307/3801959</w:t>
      </w:r>
    </w:p>
    <w:p w14:paraId="4AC6EA7D" w14:textId="2CEEAD0E" w:rsidR="009E5C0F" w:rsidRPr="009E5C0F" w:rsidRDefault="009E5C0F" w:rsidP="002E7B13">
      <w:pPr>
        <w:spacing w:line="480" w:lineRule="auto"/>
        <w:rPr>
          <w:b/>
          <w:color w:val="333333"/>
          <w:shd w:val="clear" w:color="auto" w:fill="FFFFFF"/>
        </w:rPr>
      </w:pPr>
      <w:r>
        <w:rPr>
          <w:b/>
          <w:color w:val="333333"/>
          <w:shd w:val="clear" w:color="auto" w:fill="FFFFFF"/>
        </w:rPr>
        <w:fldChar w:fldCharType="end"/>
      </w:r>
    </w:p>
    <w:sectPr w:rsidR="009E5C0F" w:rsidRPr="009E5C0F" w:rsidSect="00720CD2">
      <w:footerReference w:type="default" r:id="rId13"/>
      <w:footnotePr>
        <w:numStart w:val="2"/>
      </w:footnotePr>
      <w:pgSz w:w="11906" w:h="16838" w:code="9"/>
      <w:pgMar w:top="1440" w:right="1440" w:bottom="1440" w:left="1440" w:header="0" w:footer="0" w:gutter="0"/>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0439C1" w14:textId="77777777" w:rsidR="0093008C" w:rsidRDefault="0093008C">
      <w:r>
        <w:separator/>
      </w:r>
    </w:p>
  </w:endnote>
  <w:endnote w:type="continuationSeparator" w:id="0">
    <w:p w14:paraId="2220D070" w14:textId="77777777" w:rsidR="0093008C" w:rsidRDefault="00930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A100C" w14:textId="77777777" w:rsidR="001521AC" w:rsidRDefault="00EC5E8F">
    <w:pPr>
      <w:pStyle w:val="Footer"/>
      <w:rPr>
        <w:rStyle w:val="PageNumber"/>
      </w:rPr>
    </w:pPr>
    <w:r>
      <w:rPr>
        <w:rStyle w:val="PageNumber"/>
      </w:rPr>
      <w:fldChar w:fldCharType="begin"/>
    </w:r>
    <w:r>
      <w:instrText>PAGE</w:instrText>
    </w:r>
    <w:r>
      <w:fldChar w:fldCharType="separate"/>
    </w:r>
    <w:r w:rsidR="00801172">
      <w:rPr>
        <w:noProof/>
      </w:rPr>
      <w:t>1</w:t>
    </w:r>
    <w:r>
      <w:fldChar w:fldCharType="end"/>
    </w:r>
  </w:p>
  <w:p w14:paraId="60767719" w14:textId="77777777" w:rsidR="001521AC" w:rsidRDefault="00930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48C79A" w14:textId="77777777" w:rsidR="0093008C" w:rsidRDefault="0093008C">
      <w:r>
        <w:separator/>
      </w:r>
    </w:p>
  </w:footnote>
  <w:footnote w:type="continuationSeparator" w:id="0">
    <w:p w14:paraId="44246755" w14:textId="77777777" w:rsidR="0093008C" w:rsidRDefault="009300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defaultTabStop w:val="720"/>
  <w:characterSpacingControl w:val="doNotCompres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E8F"/>
    <w:rsid w:val="00010DCC"/>
    <w:rsid w:val="00081963"/>
    <w:rsid w:val="00086628"/>
    <w:rsid w:val="000C6959"/>
    <w:rsid w:val="000D635C"/>
    <w:rsid w:val="000F1F0C"/>
    <w:rsid w:val="001156EE"/>
    <w:rsid w:val="001B0D9E"/>
    <w:rsid w:val="001C2550"/>
    <w:rsid w:val="001C277C"/>
    <w:rsid w:val="001E1B21"/>
    <w:rsid w:val="0020575C"/>
    <w:rsid w:val="0023168C"/>
    <w:rsid w:val="00235F37"/>
    <w:rsid w:val="002E7B13"/>
    <w:rsid w:val="00323FEF"/>
    <w:rsid w:val="00336D3D"/>
    <w:rsid w:val="0035345F"/>
    <w:rsid w:val="003D6F92"/>
    <w:rsid w:val="003E723B"/>
    <w:rsid w:val="00416F4A"/>
    <w:rsid w:val="0042138B"/>
    <w:rsid w:val="00454DF8"/>
    <w:rsid w:val="00481EA3"/>
    <w:rsid w:val="00521E90"/>
    <w:rsid w:val="005F4A00"/>
    <w:rsid w:val="00612D16"/>
    <w:rsid w:val="006B43DA"/>
    <w:rsid w:val="006F5DE9"/>
    <w:rsid w:val="006F6E80"/>
    <w:rsid w:val="00720CD2"/>
    <w:rsid w:val="007C6E3D"/>
    <w:rsid w:val="00801172"/>
    <w:rsid w:val="0082296D"/>
    <w:rsid w:val="00857DD2"/>
    <w:rsid w:val="00881FA8"/>
    <w:rsid w:val="008B118D"/>
    <w:rsid w:val="009160BE"/>
    <w:rsid w:val="0093008C"/>
    <w:rsid w:val="00985AEC"/>
    <w:rsid w:val="009A7ECA"/>
    <w:rsid w:val="009B01DA"/>
    <w:rsid w:val="009D07B6"/>
    <w:rsid w:val="009E5C0F"/>
    <w:rsid w:val="00AF07F3"/>
    <w:rsid w:val="00BA5D43"/>
    <w:rsid w:val="00C75B53"/>
    <w:rsid w:val="00C765BB"/>
    <w:rsid w:val="00C87F6F"/>
    <w:rsid w:val="00CB4008"/>
    <w:rsid w:val="00D4674E"/>
    <w:rsid w:val="00D63C79"/>
    <w:rsid w:val="00D93150"/>
    <w:rsid w:val="00E70142"/>
    <w:rsid w:val="00E92C44"/>
    <w:rsid w:val="00EC5E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C6BE"/>
  <w15:chartTrackingRefBased/>
  <w15:docId w15:val="{C14E7A47-DAB9-624E-8146-19F6B57A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C5E8F"/>
    <w:pPr>
      <w:suppressAutoHyphens/>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rsid w:val="00EC5E8F"/>
    <w:rPr>
      <w:rFonts w:eastAsia="Times New Roman"/>
    </w:rPr>
  </w:style>
  <w:style w:type="character" w:styleId="PageNumber">
    <w:name w:val="page number"/>
    <w:basedOn w:val="DefaultParagraphFont"/>
    <w:uiPriority w:val="99"/>
    <w:semiHidden/>
    <w:unhideWhenUsed/>
    <w:rsid w:val="00EC5E8F"/>
  </w:style>
  <w:style w:type="paragraph" w:styleId="Footer">
    <w:name w:val="footer"/>
    <w:basedOn w:val="Normal"/>
    <w:link w:val="FooterChar"/>
    <w:uiPriority w:val="99"/>
    <w:unhideWhenUsed/>
    <w:rsid w:val="00EC5E8F"/>
    <w:pPr>
      <w:tabs>
        <w:tab w:val="center" w:pos="4680"/>
        <w:tab w:val="right" w:pos="9360"/>
      </w:tabs>
    </w:pPr>
  </w:style>
  <w:style w:type="character" w:customStyle="1" w:styleId="FooterChar1">
    <w:name w:val="Footer Char1"/>
    <w:basedOn w:val="DefaultParagraphFont"/>
    <w:uiPriority w:val="99"/>
    <w:semiHidden/>
    <w:rsid w:val="00EC5E8F"/>
    <w:rPr>
      <w:rFonts w:eastAsia="Times New Roman"/>
    </w:rPr>
  </w:style>
  <w:style w:type="character" w:styleId="LineNumber">
    <w:name w:val="line number"/>
    <w:basedOn w:val="DefaultParagraphFont"/>
    <w:uiPriority w:val="99"/>
    <w:semiHidden/>
    <w:unhideWhenUsed/>
    <w:rsid w:val="00EC5E8F"/>
  </w:style>
  <w:style w:type="table" w:styleId="TableGrid">
    <w:name w:val="Table Grid"/>
    <w:basedOn w:val="TableNormal"/>
    <w:uiPriority w:val="39"/>
    <w:rsid w:val="005F4A00"/>
    <w:pPr>
      <w:jc w:val="both"/>
    </w:pPr>
    <w:rPr>
      <w:rFonts w:asciiTheme="minorHAnsi" w:eastAsiaTheme="minorEastAsia"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5D43"/>
    <w:rPr>
      <w:sz w:val="18"/>
      <w:szCs w:val="18"/>
    </w:rPr>
  </w:style>
  <w:style w:type="character" w:customStyle="1" w:styleId="BalloonTextChar">
    <w:name w:val="Balloon Text Char"/>
    <w:basedOn w:val="DefaultParagraphFont"/>
    <w:link w:val="BalloonText"/>
    <w:uiPriority w:val="99"/>
    <w:semiHidden/>
    <w:rsid w:val="00BA5D43"/>
    <w:rPr>
      <w:rFonts w:eastAsia="Times New Roman"/>
      <w:sz w:val="18"/>
      <w:szCs w:val="18"/>
    </w:rPr>
  </w:style>
  <w:style w:type="paragraph" w:styleId="Bibliography">
    <w:name w:val="Bibliography"/>
    <w:basedOn w:val="Normal"/>
    <w:next w:val="Normal"/>
    <w:uiPriority w:val="37"/>
    <w:unhideWhenUsed/>
    <w:rsid w:val="009E5C0F"/>
    <w:pPr>
      <w:spacing w:line="480" w:lineRule="auto"/>
      <w:ind w:left="720" w:hanging="720"/>
    </w:pPr>
  </w:style>
  <w:style w:type="character" w:styleId="FootnoteReference">
    <w:name w:val="footnote reference"/>
    <w:basedOn w:val="DefaultParagraphFont"/>
    <w:uiPriority w:val="99"/>
    <w:semiHidden/>
    <w:unhideWhenUsed/>
    <w:rsid w:val="00857D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848311">
      <w:bodyDiv w:val="1"/>
      <w:marLeft w:val="0"/>
      <w:marRight w:val="0"/>
      <w:marTop w:val="0"/>
      <w:marBottom w:val="0"/>
      <w:divBdr>
        <w:top w:val="none" w:sz="0" w:space="0" w:color="auto"/>
        <w:left w:val="none" w:sz="0" w:space="0" w:color="auto"/>
        <w:bottom w:val="none" w:sz="0" w:space="0" w:color="auto"/>
        <w:right w:val="none" w:sz="0" w:space="0" w:color="auto"/>
      </w:divBdr>
    </w:div>
    <w:div w:id="180396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4750</Words>
  <Characters>27077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 Naniwadekar</dc:creator>
  <cp:keywords/>
  <dc:description/>
  <cp:lastModifiedBy>Kettle  Chris</cp:lastModifiedBy>
  <cp:revision>2</cp:revision>
  <dcterms:created xsi:type="dcterms:W3CDTF">2021-10-30T08:10:00Z</dcterms:created>
  <dcterms:modified xsi:type="dcterms:W3CDTF">2021-10-30T08:10:00Z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id="mJNjd7dw"/&gt;&lt;style id="http://www.zotero.org/styles/apa-6th-edition" locale="en-US" hasBibliography="1" bibliographyStyleHasBeenSet="1"/&gt;&lt;prefs&gt;&lt;pref name="fieldType" value="Field"/&gt;&lt;/prefs&gt;&lt;/da</vt:lpwstr>
  </property>
  <property fmtid="{D5CDD505-2E9C-101B-9397-08002B2CF9AE}" pid="3" name="ZOTERO_PREF_2">
    <vt:lpwstr>ta&gt;</vt:lpwstr>
  </property>
</Properties>
</file>