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2.xml" ContentType="application/vnd.openxmlformats-officedocument.wordprocessingml.footer+xml"/>
  <Override PartName="/word/footer1.xml" ContentType="application/vnd.openxmlformats-officedocument.wordprocessingml.footer+xml"/>
  <Override PartName="/word/document.xml" ContentType="application/vnd.openxmlformats-officedocument.wordprocessingml.document.main+xml"/>
  <Override PartName="/word/footer3.xml" ContentType="application/vnd.openxmlformats-officedocument.wordprocessingml.footer+xml"/>
  <Override PartName="/word/_rels/document.xml.rels" ContentType="application/vnd.openxmlformats-package.relationships+xml"/>
  <Override PartName="/word/media/image9.png" ContentType="image/png"/>
  <Override PartName="/word/media/image10.png" ContentType="image/png"/>
  <Override PartName="/word/media/image8.png" ContentType="image/png"/>
  <Override PartName="/word/media/image7.png" ContentType="image/png"/>
  <Override PartName="/word/media/image11.png" ContentType="image/png"/>
  <Override PartName="/word/media/image6.png" ContentType="image/png"/>
  <Override PartName="/word/media/image2.png" ContentType="image/png"/>
  <Override PartName="/word/media/image1.png" ContentType="image/png"/>
  <Override PartName="/word/media/image3.png" ContentType="image/png"/>
  <Override PartName="/word/media/image16.png" ContentType="image/png"/>
  <Override PartName="/word/media/image18.png" ContentType="image/png"/>
  <Override PartName="/word/media/image17.png" ContentType="image/png"/>
  <Override PartName="/word/media/image20.png" ContentType="image/png"/>
  <Override PartName="/word/media/image14.png" ContentType="image/png"/>
  <Override PartName="/word/media/image19.png" ContentType="image/png"/>
  <Override PartName="/word/media/image15.png" ContentType="image/png"/>
  <Override PartName="/word/media/image13.png" ContentType="image/png"/>
  <Override PartName="/word/media/image12.png" ContentType="image/png"/>
  <Override PartName="/word/media/image5.png" ContentType="image/png"/>
  <Override PartName="/word/media/image4.png" ContentType="image/png"/>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jc w:val="both"/>
        <w:rPr/>
      </w:pPr>
      <w:r>
        <w:rPr>
          <w:rFonts w:eastAsia="Arial" w:cs="Arial" w:ascii="Arial" w:hAnsi="Arial"/>
          <w:b/>
        </w:rPr>
        <w:t xml:space="preserve">Appendix S2. </w:t>
      </w:r>
      <w:r>
        <w:rPr>
          <w:rFonts w:eastAsia="Arial" w:cs="Arial" w:ascii="Arial" w:hAnsi="Arial"/>
          <w:color w:val="000000"/>
        </w:rPr>
        <w:t>Additional information on Maxent species distribution modeling approach and results.</w:t>
      </w:r>
    </w:p>
    <w:p>
      <w:pPr>
        <w:pStyle w:val="LOnormal"/>
        <w:jc w:val="both"/>
        <w:rPr>
          <w:rFonts w:ascii="Arial" w:hAnsi="Arial" w:eastAsia="Arial" w:cs="Arial"/>
          <w:b/>
          <w:b/>
        </w:rPr>
      </w:pPr>
      <w:r>
        <w:rPr>
          <w:rFonts w:eastAsia="Arial" w:cs="Arial" w:ascii="Arial" w:hAnsi="Arial"/>
          <w:b/>
        </w:rPr>
      </w:r>
    </w:p>
    <w:p>
      <w:pPr>
        <w:pStyle w:val="LOnormal"/>
        <w:jc w:val="both"/>
        <w:rPr>
          <w:rFonts w:ascii="Arial" w:hAnsi="Arial" w:eastAsia="Arial" w:cs="Arial"/>
          <w:b/>
          <w:b/>
          <w:sz w:val="22"/>
          <w:szCs w:val="22"/>
        </w:rPr>
      </w:pPr>
      <w:r>
        <w:rPr>
          <w:rFonts w:eastAsia="Arial" w:cs="Arial" w:ascii="Arial" w:hAnsi="Arial"/>
          <w:b/>
          <w:sz w:val="22"/>
          <w:szCs w:val="22"/>
        </w:rPr>
        <w:t>Sampling bias</w:t>
      </w:r>
    </w:p>
    <w:p>
      <w:pPr>
        <w:pStyle w:val="LOnormal"/>
        <w:jc w:val="both"/>
        <w:rPr>
          <w:rFonts w:ascii="Arial" w:hAnsi="Arial" w:eastAsia="Arial" w:cs="Arial"/>
          <w:b/>
          <w:b/>
          <w:sz w:val="22"/>
          <w:szCs w:val="22"/>
        </w:rPr>
      </w:pPr>
      <w:r>
        <w:rPr>
          <w:rFonts w:eastAsia="Arial" w:cs="Arial" w:ascii="Arial" w:hAnsi="Arial"/>
          <w:b/>
          <w:sz w:val="22"/>
          <w:szCs w:val="22"/>
        </w:rPr>
      </w:r>
    </w:p>
    <w:p>
      <w:pPr>
        <w:pStyle w:val="LOnormal"/>
        <w:jc w:val="both"/>
        <w:rPr/>
      </w:pPr>
      <w:r>
        <w:rPr>
          <w:rFonts w:eastAsia="Arial" w:cs="Arial" w:ascii="Arial" w:hAnsi="Arial"/>
          <w:sz w:val="22"/>
          <w:szCs w:val="22"/>
        </w:rPr>
        <w:t>With unequal sampling effort in a complex landscape with strong latitudinal and elevation gradients, randomly picked background locations can lead to a poor estimate of environmental variation in the model extent, biasing predictions towards sampled environments rather than capturing species preferences (Phillips et al., 2009; Elith et al., 2011). To correct for this, we built a model of sampling bias with all surveyed locations and used its predictions (Fig. S2.1) to weigh the selection of background locations for species distribution models (following Phillips et al., 2009). The same set of background locations was used across all species being modelled.</w:t>
      </w:r>
    </w:p>
    <w:p>
      <w:pPr>
        <w:pStyle w:val="LOnormal"/>
        <w:jc w:val="both"/>
        <w:rPr>
          <w:rFonts w:ascii="Arial" w:hAnsi="Arial" w:eastAsia="Arial" w:cs="Arial"/>
          <w:sz w:val="22"/>
          <w:szCs w:val="22"/>
        </w:rPr>
      </w:pPr>
      <w:r>
        <w:rPr>
          <w:rFonts w:eastAsia="Arial" w:cs="Arial" w:ascii="Arial" w:hAnsi="Arial"/>
          <w:sz w:val="22"/>
          <w:szCs w:val="22"/>
        </w:rPr>
      </w:r>
    </w:p>
    <w:p>
      <w:pPr>
        <w:pStyle w:val="LOnormal"/>
        <w:jc w:val="both"/>
        <w:rPr/>
      </w:pPr>
      <w:r>
        <w:rPr>
          <w:rFonts w:eastAsia="Arial" w:cs="Arial" w:ascii="Arial" w:hAnsi="Arial"/>
          <w:b/>
          <w:sz w:val="22"/>
          <w:szCs w:val="22"/>
        </w:rPr>
        <w:t>Predictor variables</w:t>
      </w:r>
    </w:p>
    <w:p>
      <w:pPr>
        <w:pStyle w:val="LOnormal"/>
        <w:jc w:val="both"/>
        <w:rPr>
          <w:rFonts w:ascii="Arial" w:hAnsi="Arial" w:eastAsia="Arial" w:cs="Arial"/>
          <w:sz w:val="22"/>
          <w:szCs w:val="22"/>
        </w:rPr>
      </w:pPr>
      <w:r>
        <w:rPr>
          <w:rFonts w:eastAsia="Arial" w:cs="Arial" w:ascii="Arial" w:hAnsi="Arial"/>
          <w:sz w:val="22"/>
          <w:szCs w:val="22"/>
        </w:rPr>
      </w:r>
    </w:p>
    <w:p>
      <w:pPr>
        <w:pStyle w:val="LOnormal"/>
        <w:jc w:val="both"/>
        <w:rPr/>
      </w:pPr>
      <w:r>
        <w:rPr>
          <w:rFonts w:eastAsia="Arial" w:cs="Arial" w:ascii="Arial" w:hAnsi="Arial"/>
          <w:sz w:val="22"/>
          <w:szCs w:val="22"/>
        </w:rPr>
        <w:t>We used three sets of predictor variables – 1. all WorldClim variables (</w:t>
      </w:r>
      <w:r>
        <w:rPr>
          <w:rFonts w:eastAsia="Arial" w:cs="Arial" w:ascii="Arial" w:hAnsi="Arial"/>
          <w:color w:val="000000"/>
          <w:sz w:val="22"/>
          <w:szCs w:val="22"/>
        </w:rPr>
        <w:t>Fick &amp; Hijmans, 2017)</w:t>
      </w:r>
      <w:r>
        <w:rPr>
          <w:rFonts w:eastAsia="Arial" w:cs="Arial" w:ascii="Arial" w:hAnsi="Arial"/>
          <w:sz w:val="22"/>
          <w:szCs w:val="22"/>
        </w:rPr>
        <w:t xml:space="preserve"> and soil type (</w:t>
      </w:r>
      <w:r>
        <w:rPr>
          <w:rFonts w:eastAsia="Arial" w:cs="Arial" w:ascii="Arial" w:hAnsi="Arial"/>
          <w:color w:val="000000"/>
          <w:sz w:val="22"/>
          <w:szCs w:val="22"/>
        </w:rPr>
        <w:t>ATREE Spatial Archive, 2020)</w:t>
      </w:r>
      <w:r>
        <w:rPr>
          <w:rFonts w:eastAsia="Arial" w:cs="Arial" w:ascii="Arial" w:hAnsi="Arial"/>
          <w:sz w:val="22"/>
          <w:szCs w:val="22"/>
        </w:rPr>
        <w:t xml:space="preserve"> (21 predictors), 2. preselected variables from WorldClim and soil type based on ecological intuition (7 predictors), and 3. primary variables from WorlClim and soil type layer (8 predictors) (Table S2.2). Maxent models were run using all three predictor datasets using the same procedure for feature class selection and model tuning as described in the main text. The WorldClim variables were used at 30 arcsecond resolution (~1 km at the equator), and are derived from monthly data on temperature, precipitation, solar radiation, wind speed and water vapour pressure, summarized over the years 1971-2000, and elevation was derived from SRTM data (http://srtm.csi.cgiar.org/).</w:t>
      </w:r>
    </w:p>
    <w:p>
      <w:pPr>
        <w:pStyle w:val="LOnormal"/>
        <w:jc w:val="both"/>
        <w:rPr>
          <w:rFonts w:ascii="Arial" w:hAnsi="Arial" w:eastAsia="Arial" w:cs="Arial"/>
          <w:sz w:val="22"/>
          <w:szCs w:val="22"/>
        </w:rPr>
      </w:pPr>
      <w:r>
        <w:rPr>
          <w:rFonts w:eastAsia="Arial" w:cs="Arial" w:ascii="Arial" w:hAnsi="Arial"/>
          <w:sz w:val="22"/>
          <w:szCs w:val="22"/>
        </w:rPr>
      </w:r>
    </w:p>
    <w:p>
      <w:pPr>
        <w:pStyle w:val="LOnormal"/>
        <w:jc w:val="both"/>
        <w:rPr/>
      </w:pPr>
      <w:r>
        <w:rPr>
          <w:rFonts w:eastAsia="Arial" w:cs="Arial" w:ascii="Arial" w:hAnsi="Arial"/>
          <w:sz w:val="22"/>
          <w:szCs w:val="22"/>
        </w:rPr>
        <w:t>The first predictor dataset uses all available predictor variables and lets the Maxent algorithm choose the ones that are most relevant in predicting habitat suitability. This approach can be useful when modeling multiple species, where there might be interspecific differences in relevant environmental variables and where their omission can lead to prediction error (Arau ́jo &amp; Peterson, 2012). However, using all available predictors may lead to the inclusion of correlated variables, which increases model complexity, makes it difficult to tease apart the role of the causal predictor from its correlates and can lead to prediction error if the underlying correlation structure changes when extrapolating the model in space or time (Dormann et al., 2013). This can be especially problematic when small datasets are used for model training, where the resulting model is strongly influenced by a few points. The second predictor dataset offers a useful alternative when species biology is well known, allowing for the screening of predictors that are most relevant to the study species (</w:t>
      </w:r>
      <w:r>
        <w:rPr>
          <w:rFonts w:eastAsia="Arial" w:cs="Arial" w:ascii="Arial" w:hAnsi="Arial"/>
          <w:color w:val="4472C4"/>
          <w:sz w:val="22"/>
          <w:szCs w:val="22"/>
        </w:rPr>
        <w:t>Merow, Smith &amp; Silander, 2013</w:t>
      </w:r>
      <w:r>
        <w:rPr>
          <w:rFonts w:eastAsia="Arial" w:cs="Arial" w:ascii="Arial" w:hAnsi="Arial"/>
          <w:sz w:val="22"/>
          <w:szCs w:val="22"/>
        </w:rPr>
        <w:t>). However, insufficient knowledge of species biology or the need to model multiple species differing in their ecological requirements would require species-based specification of causal drivers, which may not always be possible. The third predictor dataset uses a wide breadth of environmental predictors but reduces their number by removing secondary variables (derived from the mean, minimum and maximum). Models using this reduced dataset have been shown to perform well in terms of transferability by avoiding overfitting to training data (Low et al., 2021).</w:t>
      </w:r>
    </w:p>
    <w:p>
      <w:pPr>
        <w:pStyle w:val="LOnormal"/>
        <w:jc w:val="both"/>
        <w:rPr>
          <w:rFonts w:ascii="Arial" w:hAnsi="Arial" w:eastAsia="Arial" w:cs="Arial"/>
          <w:sz w:val="22"/>
          <w:szCs w:val="22"/>
        </w:rPr>
      </w:pPr>
      <w:r>
        <w:rPr>
          <w:rFonts w:eastAsia="Arial" w:cs="Arial" w:ascii="Arial" w:hAnsi="Arial"/>
          <w:sz w:val="22"/>
          <w:szCs w:val="22"/>
        </w:rPr>
      </w:r>
    </w:p>
    <w:p>
      <w:pPr>
        <w:pStyle w:val="LOnormal"/>
        <w:jc w:val="both"/>
        <w:rPr>
          <w:rFonts w:ascii="Arial" w:hAnsi="Arial" w:eastAsia="Arial" w:cs="Arial"/>
          <w:b/>
          <w:b/>
          <w:bCs/>
          <w:sz w:val="22"/>
          <w:szCs w:val="22"/>
        </w:rPr>
      </w:pPr>
      <w:r>
        <w:rPr>
          <w:rFonts w:eastAsia="Arial" w:cs="Arial" w:ascii="Arial" w:hAnsi="Arial"/>
          <w:b/>
          <w:bCs/>
          <w:sz w:val="22"/>
          <w:szCs w:val="22"/>
        </w:rPr>
        <w:t>Model evaluation and selection</w:t>
      </w:r>
    </w:p>
    <w:p>
      <w:pPr>
        <w:pStyle w:val="LOnormal"/>
        <w:jc w:val="both"/>
        <w:rPr>
          <w:rFonts w:ascii="Arial" w:hAnsi="Arial" w:eastAsia="Arial" w:cs="Arial"/>
          <w:b/>
          <w:b/>
          <w:bCs/>
          <w:sz w:val="22"/>
          <w:szCs w:val="22"/>
        </w:rPr>
      </w:pPr>
      <w:r>
        <w:rPr>
          <w:rFonts w:eastAsia="Arial" w:cs="Arial" w:ascii="Arial" w:hAnsi="Arial"/>
          <w:b/>
          <w:bCs/>
          <w:sz w:val="22"/>
          <w:szCs w:val="22"/>
        </w:rPr>
      </w:r>
    </w:p>
    <w:p>
      <w:pPr>
        <w:pStyle w:val="LOnormal"/>
        <w:jc w:val="both"/>
        <w:rPr/>
      </w:pPr>
      <w:r>
        <w:rPr>
          <w:rFonts w:eastAsia="Arial" w:cs="Arial" w:ascii="Arial" w:hAnsi="Arial"/>
          <w:sz w:val="22"/>
          <w:szCs w:val="22"/>
        </w:rPr>
        <w:t>We used two means of selecting the best performing model for each species among models built using different feature classes and tuning parameters – 1. based on model transferability using a cross-validation approach (omission rate, difference in test and training AUC – Area Under the receiver-operator Curve) and discriminatory power (AUC of test data) (Radosavljevic &amp; Anderson, 2014) and 2. based on model parsimony (AICc – Akaike Information Criterion corrected for small smple sizes) (Warren &amp; Seifert, 2011). The former helps in selecting models that do not overfit training data while predicting the test data well, and the latter measures the goodness-of-fit of a model while penalizing for the number of model parameters (Low et al., 2021). However, species distribution models selected using AICc may overpenalize parameters, especially when using hinge features, and may lead to underparametrized models which overpredict habitat suitability across the model extent (Low et al., 2021). We qualitatively inspected the continuous habitat suitability maps and thresholded binary maps to compare the predictions of models built using different combinations of the predictor dataset and the method of model selection. We found that models selected solely based on AICc overpredicted distribution for several species, while the three predictor datasets varied in their level of overprediction across species. Models built using ecologically preselected predictor variables seemed to overpredict more often than the other two predictor datasets. A summary of results for models built using the three predictor datasets and two different model selection methods is presented in Table S2.3.</w:t>
      </w:r>
    </w:p>
    <w:p>
      <w:pPr>
        <w:pStyle w:val="LOnormal"/>
        <w:jc w:val="both"/>
        <w:rPr>
          <w:rFonts w:ascii="Arial" w:hAnsi="Arial" w:eastAsia="Arial" w:cs="Arial"/>
          <w:sz w:val="22"/>
          <w:szCs w:val="22"/>
        </w:rPr>
      </w:pPr>
      <w:r>
        <w:rPr>
          <w:rFonts w:eastAsia="Arial" w:cs="Arial" w:ascii="Arial" w:hAnsi="Arial"/>
          <w:sz w:val="22"/>
          <w:szCs w:val="22"/>
        </w:rPr>
      </w:r>
    </w:p>
    <w:p>
      <w:pPr>
        <w:pStyle w:val="LOnormal"/>
        <w:jc w:val="both"/>
        <w:rPr>
          <w:rFonts w:ascii="Arial" w:hAnsi="Arial" w:eastAsia="Arial" w:cs="Arial"/>
          <w:sz w:val="22"/>
          <w:szCs w:val="22"/>
        </w:rPr>
      </w:pPr>
      <w:r>
        <w:rPr>
          <w:rFonts w:eastAsia="Arial" w:cs="Arial" w:ascii="Arial" w:hAnsi="Arial"/>
          <w:sz w:val="22"/>
          <w:szCs w:val="22"/>
        </w:rPr>
      </w:r>
    </w:p>
    <w:p>
      <w:pPr>
        <w:pStyle w:val="LOnormal"/>
        <w:jc w:val="both"/>
        <w:rPr>
          <w:rFonts w:ascii="Arial" w:hAnsi="Arial" w:eastAsia="Arial" w:cs="Arial"/>
          <w:b/>
          <w:b/>
          <w:sz w:val="22"/>
          <w:szCs w:val="22"/>
        </w:rPr>
      </w:pPr>
      <w:r>
        <w:rPr>
          <w:rFonts w:eastAsia="Arial" w:cs="Arial" w:ascii="Arial" w:hAnsi="Arial"/>
          <w:b/>
          <w:sz w:val="22"/>
          <w:szCs w:val="22"/>
        </w:rPr>
      </w:r>
      <w:r>
        <w:br w:type="page"/>
      </w:r>
    </w:p>
    <w:p>
      <w:pPr>
        <w:pStyle w:val="LOnormal"/>
        <w:jc w:val="both"/>
        <w:rPr>
          <w:rFonts w:ascii="Arial" w:hAnsi="Arial" w:eastAsia="Arial" w:cs="Arial"/>
          <w:b/>
          <w:b/>
        </w:rPr>
      </w:pPr>
      <w:r>
        <w:rPr>
          <w:rFonts w:eastAsia="Arial" w:cs="Arial" w:ascii="Arial" w:hAnsi="Arial"/>
          <w:b/>
        </w:rPr>
        <w:t>References</w:t>
      </w:r>
    </w:p>
    <w:p>
      <w:pPr>
        <w:pStyle w:val="LOnormal"/>
        <w:jc w:val="both"/>
        <w:rPr>
          <w:rFonts w:ascii="Arial" w:hAnsi="Arial" w:eastAsia="Arial" w:cs="Arial"/>
          <w:b/>
          <w:b/>
        </w:rPr>
      </w:pPr>
      <w:r>
        <w:rPr>
          <w:rFonts w:eastAsia="Arial" w:cs="Arial" w:ascii="Arial" w:hAnsi="Arial"/>
          <w:b/>
        </w:rPr>
      </w:r>
    </w:p>
    <w:p>
      <w:pPr>
        <w:pStyle w:val="LOnormal"/>
        <w:ind w:left="720" w:hanging="720"/>
        <w:jc w:val="both"/>
        <w:rPr>
          <w:rFonts w:ascii="Arial" w:hAnsi="Arial"/>
          <w:sz w:val="22"/>
          <w:szCs w:val="22"/>
        </w:rPr>
      </w:pPr>
      <w:r>
        <w:rPr>
          <w:rFonts w:eastAsia="Arial" w:cs="Arial" w:ascii="Arial" w:hAnsi="Arial"/>
          <w:sz w:val="22"/>
          <w:szCs w:val="22"/>
        </w:rPr>
        <w:t xml:space="preserve">Araújo, M. B., &amp; Peterson, A. T. (2012). Uses and misuses of bioclimatic envelope modeling. </w:t>
      </w:r>
      <w:r>
        <w:rPr>
          <w:rFonts w:eastAsia="Arial" w:cs="Arial" w:ascii="Arial" w:hAnsi="Arial"/>
          <w:i/>
          <w:sz w:val="22"/>
          <w:szCs w:val="22"/>
        </w:rPr>
        <w:t>Ecology</w:t>
      </w:r>
      <w:r>
        <w:rPr>
          <w:rFonts w:eastAsia="Arial" w:cs="Arial" w:ascii="Arial" w:hAnsi="Arial"/>
          <w:sz w:val="22"/>
          <w:szCs w:val="22"/>
        </w:rPr>
        <w:t xml:space="preserve">, </w:t>
      </w:r>
      <w:r>
        <w:rPr>
          <w:rFonts w:eastAsia="Arial" w:cs="Arial" w:ascii="Arial" w:hAnsi="Arial"/>
          <w:i/>
          <w:sz w:val="22"/>
          <w:szCs w:val="22"/>
        </w:rPr>
        <w:t>93</w:t>
      </w:r>
      <w:r>
        <w:rPr>
          <w:rFonts w:eastAsia="Arial" w:cs="Arial" w:ascii="Arial" w:hAnsi="Arial"/>
          <w:sz w:val="22"/>
          <w:szCs w:val="22"/>
        </w:rPr>
        <w:t>(7), 1527–1539. https://doi.org/10.1890/11-1930.1</w:t>
      </w:r>
    </w:p>
    <w:p>
      <w:pPr>
        <w:pStyle w:val="Normal"/>
        <w:ind w:left="720" w:hanging="720"/>
        <w:jc w:val="both"/>
        <w:rPr>
          <w:rFonts w:ascii="Arial" w:hAnsi="Arial"/>
          <w:sz w:val="22"/>
          <w:szCs w:val="22"/>
        </w:rPr>
      </w:pPr>
      <w:r>
        <w:rPr>
          <w:rFonts w:eastAsia="Arial" w:cs="Arial" w:ascii="Arial" w:hAnsi="Arial"/>
          <w:sz w:val="22"/>
          <w:szCs w:val="22"/>
        </w:rPr>
        <w:t xml:space="preserve">Dormann, C. F., Elith, J., Bacher, S., Buchmann, C., Carl, G., Carré, G., Marquéz, J. R. G., Gruber, B., Lafourcade, B., Leitão, P. J., Münkemüller, T., McClean, C., Osborne, P. E., Reineking, B., Schröder, B., Skidmore, A. K., Zurell, D., &amp; Lautenbach, S. (2013). Collinearity: A review of methods to deal with it and a simulation study evaluating their performance. </w:t>
      </w:r>
      <w:r>
        <w:rPr>
          <w:rFonts w:eastAsia="Arial" w:cs="Arial" w:ascii="Arial" w:hAnsi="Arial"/>
          <w:i/>
          <w:sz w:val="22"/>
          <w:szCs w:val="22"/>
        </w:rPr>
        <w:t>Ecography</w:t>
      </w:r>
      <w:r>
        <w:rPr>
          <w:rFonts w:eastAsia="Arial" w:cs="Arial" w:ascii="Arial" w:hAnsi="Arial"/>
          <w:sz w:val="22"/>
          <w:szCs w:val="22"/>
        </w:rPr>
        <w:t xml:space="preserve">, </w:t>
      </w:r>
      <w:r>
        <w:rPr>
          <w:rFonts w:eastAsia="Arial" w:cs="Arial" w:ascii="Arial" w:hAnsi="Arial"/>
          <w:i/>
          <w:sz w:val="22"/>
          <w:szCs w:val="22"/>
        </w:rPr>
        <w:t>36</w:t>
      </w:r>
      <w:r>
        <w:rPr>
          <w:rFonts w:eastAsia="Arial" w:cs="Arial" w:ascii="Arial" w:hAnsi="Arial"/>
          <w:sz w:val="22"/>
          <w:szCs w:val="22"/>
        </w:rPr>
        <w:t>(1), 27–46. https://doi.org/10.1111/j.1600-0587.2012.07348.x</w:t>
      </w:r>
    </w:p>
    <w:p>
      <w:pPr>
        <w:pStyle w:val="LOnormal"/>
        <w:ind w:left="720" w:hanging="720"/>
        <w:jc w:val="both"/>
        <w:rPr>
          <w:rFonts w:ascii="Arial" w:hAnsi="Arial"/>
          <w:sz w:val="22"/>
          <w:szCs w:val="22"/>
        </w:rPr>
      </w:pPr>
      <w:r>
        <w:rPr>
          <w:rFonts w:eastAsia="Arial" w:cs="Arial" w:ascii="Arial" w:hAnsi="Arial"/>
          <w:color w:val="000000"/>
          <w:sz w:val="22"/>
          <w:szCs w:val="22"/>
        </w:rPr>
        <w:t xml:space="preserve">Elith, J., Phillips, S. J., Hastie, T., Dudík, M., Chee, Y. E., &amp; Yates, C. J. (2011). A statistical explanation of MaxEnt for ecologists. </w:t>
      </w:r>
      <w:r>
        <w:rPr>
          <w:rFonts w:eastAsia="Arial" w:cs="Arial" w:ascii="Arial" w:hAnsi="Arial"/>
          <w:i/>
          <w:color w:val="000000"/>
          <w:sz w:val="22"/>
          <w:szCs w:val="22"/>
        </w:rPr>
        <w:t>Diversity and Distributions</w:t>
      </w:r>
      <w:r>
        <w:rPr>
          <w:rFonts w:eastAsia="Arial" w:cs="Arial" w:ascii="Arial" w:hAnsi="Arial"/>
          <w:color w:val="000000"/>
          <w:sz w:val="22"/>
          <w:szCs w:val="22"/>
        </w:rPr>
        <w:t xml:space="preserve">, </w:t>
      </w:r>
      <w:r>
        <w:rPr>
          <w:rFonts w:eastAsia="Arial" w:cs="Arial" w:ascii="Arial" w:hAnsi="Arial"/>
          <w:i/>
          <w:color w:val="000000"/>
          <w:sz w:val="22"/>
          <w:szCs w:val="22"/>
        </w:rPr>
        <w:t>17</w:t>
      </w:r>
      <w:r>
        <w:rPr>
          <w:rFonts w:eastAsia="Arial" w:cs="Arial" w:ascii="Arial" w:hAnsi="Arial"/>
          <w:color w:val="000000"/>
          <w:sz w:val="22"/>
          <w:szCs w:val="22"/>
        </w:rPr>
        <w:t>(1), 43–57. https://doi.org/10.1111/j.1472-4642.2010.00725.x</w:t>
      </w:r>
    </w:p>
    <w:p>
      <w:pPr>
        <w:pStyle w:val="LOnormal"/>
        <w:ind w:left="720" w:hanging="720"/>
        <w:jc w:val="both"/>
        <w:rPr>
          <w:rFonts w:ascii="Arial" w:hAnsi="Arial"/>
          <w:sz w:val="22"/>
          <w:szCs w:val="22"/>
        </w:rPr>
      </w:pPr>
      <w:r>
        <w:rPr>
          <w:rFonts w:eastAsia="Arial" w:cs="Arial" w:ascii="Arial" w:hAnsi="Arial"/>
          <w:color w:val="000000"/>
          <w:sz w:val="22"/>
          <w:szCs w:val="22"/>
        </w:rPr>
        <w:t xml:space="preserve">Fick, S. E., &amp; Hijmans, R. J. (2017). WorldClim 2: New 1-km spatial resolution climate surfaces for global land areas. </w:t>
      </w:r>
      <w:r>
        <w:rPr>
          <w:rFonts w:eastAsia="Arial" w:cs="Arial" w:ascii="Arial" w:hAnsi="Arial"/>
          <w:i/>
          <w:color w:val="000000"/>
          <w:sz w:val="22"/>
          <w:szCs w:val="22"/>
        </w:rPr>
        <w:t>International Journal of Climatology</w:t>
      </w:r>
      <w:r>
        <w:rPr>
          <w:rFonts w:eastAsia="Arial" w:cs="Arial" w:ascii="Arial" w:hAnsi="Arial"/>
          <w:color w:val="000000"/>
          <w:sz w:val="22"/>
          <w:szCs w:val="22"/>
        </w:rPr>
        <w:t xml:space="preserve">, </w:t>
      </w:r>
      <w:r>
        <w:rPr>
          <w:rFonts w:eastAsia="Arial" w:cs="Arial" w:ascii="Arial" w:hAnsi="Arial"/>
          <w:i/>
          <w:color w:val="000000"/>
          <w:sz w:val="22"/>
          <w:szCs w:val="22"/>
        </w:rPr>
        <w:t>37</w:t>
      </w:r>
      <w:r>
        <w:rPr>
          <w:rFonts w:eastAsia="Arial" w:cs="Arial" w:ascii="Arial" w:hAnsi="Arial"/>
          <w:color w:val="000000"/>
          <w:sz w:val="22"/>
          <w:szCs w:val="22"/>
        </w:rPr>
        <w:t xml:space="preserve">(12), 4302–4315. </w:t>
      </w:r>
      <w:r>
        <w:rPr>
          <w:rFonts w:ascii="Arial" w:hAnsi="Arial"/>
          <w:sz w:val="22"/>
          <w:szCs w:val="22"/>
        </w:rPr>
        <w:t>https://doi.org/10.1002/joc.5086</w:t>
      </w:r>
    </w:p>
    <w:p>
      <w:pPr>
        <w:pStyle w:val="Normal"/>
        <w:ind w:left="720" w:hanging="720"/>
        <w:jc w:val="both"/>
        <w:rPr>
          <w:rFonts w:ascii="Arial" w:hAnsi="Arial"/>
          <w:sz w:val="22"/>
          <w:szCs w:val="22"/>
        </w:rPr>
      </w:pPr>
      <w:r>
        <w:rPr>
          <w:rFonts w:eastAsia="Arial" w:cs="Arial" w:ascii="Arial" w:hAnsi="Arial"/>
          <w:color w:val="000000"/>
          <w:sz w:val="22"/>
          <w:szCs w:val="22"/>
        </w:rPr>
        <w:t xml:space="preserve">Low, B. W., Zeng, Y., Tan, H. H., &amp; Yeo, D. C. J. (2021). Predictor complexity and feature selection affect Maxent model transferability: Evidence from global freshwater invasive species. </w:t>
      </w:r>
      <w:r>
        <w:rPr>
          <w:rFonts w:eastAsia="Arial" w:cs="Arial" w:ascii="Arial" w:hAnsi="Arial"/>
          <w:i/>
          <w:color w:val="000000"/>
          <w:sz w:val="22"/>
          <w:szCs w:val="22"/>
        </w:rPr>
        <w:t>Diversity and Distributions</w:t>
      </w:r>
      <w:r>
        <w:rPr>
          <w:rFonts w:eastAsia="Arial" w:cs="Arial" w:ascii="Arial" w:hAnsi="Arial"/>
          <w:color w:val="000000"/>
          <w:sz w:val="22"/>
          <w:szCs w:val="22"/>
        </w:rPr>
        <w:t xml:space="preserve">, </w:t>
      </w:r>
      <w:r>
        <w:rPr>
          <w:rFonts w:eastAsia="Arial" w:cs="Arial" w:ascii="Arial" w:hAnsi="Arial"/>
          <w:i/>
          <w:color w:val="000000"/>
          <w:sz w:val="22"/>
          <w:szCs w:val="22"/>
        </w:rPr>
        <w:t>27</w:t>
      </w:r>
      <w:r>
        <w:rPr>
          <w:rFonts w:eastAsia="Arial" w:cs="Arial" w:ascii="Arial" w:hAnsi="Arial"/>
          <w:color w:val="000000"/>
          <w:sz w:val="22"/>
          <w:szCs w:val="22"/>
        </w:rPr>
        <w:t xml:space="preserve">(3), 497–511. </w:t>
      </w:r>
      <w:r>
        <w:rPr>
          <w:rFonts w:ascii="Arial" w:hAnsi="Arial"/>
          <w:sz w:val="22"/>
          <w:szCs w:val="22"/>
        </w:rPr>
        <w:t>https://doi.org/10.1111/ddi.13211</w:t>
      </w:r>
    </w:p>
    <w:p>
      <w:pPr>
        <w:pStyle w:val="LOnormal"/>
        <w:ind w:left="720" w:hanging="720"/>
        <w:jc w:val="both"/>
        <w:rPr/>
      </w:pPr>
      <w:r>
        <w:rPr>
          <w:rFonts w:eastAsia="Arial" w:cs="Arial" w:ascii="Arial" w:hAnsi="Arial"/>
          <w:color w:val="000000"/>
          <w:sz w:val="22"/>
          <w:szCs w:val="22"/>
        </w:rPr>
        <w:t xml:space="preserve">Merow, C., Smith, M. J., &amp; Silander, J. A. (2013). A practical guide to MaxEnt for modeling species’ distributions: What it does, and why inputs and settings matter. </w:t>
      </w:r>
      <w:r>
        <w:rPr>
          <w:rFonts w:eastAsia="Arial" w:cs="Arial" w:ascii="Arial" w:hAnsi="Arial"/>
          <w:i/>
          <w:color w:val="000000"/>
          <w:sz w:val="22"/>
          <w:szCs w:val="22"/>
        </w:rPr>
        <w:t>Ecography</w:t>
      </w:r>
      <w:r>
        <w:rPr>
          <w:rFonts w:eastAsia="Arial" w:cs="Arial" w:ascii="Arial" w:hAnsi="Arial"/>
          <w:color w:val="000000"/>
          <w:sz w:val="22"/>
          <w:szCs w:val="22"/>
        </w:rPr>
        <w:t xml:space="preserve">, </w:t>
      </w:r>
      <w:r>
        <w:rPr>
          <w:rFonts w:eastAsia="Arial" w:cs="Arial" w:ascii="Arial" w:hAnsi="Arial"/>
          <w:i/>
          <w:color w:val="000000"/>
          <w:sz w:val="22"/>
          <w:szCs w:val="22"/>
        </w:rPr>
        <w:t>36</w:t>
      </w:r>
      <w:r>
        <w:rPr>
          <w:rFonts w:eastAsia="Arial" w:cs="Arial" w:ascii="Arial" w:hAnsi="Arial"/>
          <w:color w:val="000000"/>
          <w:sz w:val="22"/>
          <w:szCs w:val="22"/>
        </w:rPr>
        <w:t>(10), 1058–1069. https://doi.org/10.1111/j.1600-0587.2013.07872.x</w:t>
      </w:r>
    </w:p>
    <w:p>
      <w:pPr>
        <w:pStyle w:val="LOnormal"/>
        <w:ind w:left="720" w:hanging="720"/>
        <w:jc w:val="both"/>
        <w:rPr>
          <w:rFonts w:ascii="Arial" w:hAnsi="Arial"/>
          <w:sz w:val="22"/>
          <w:szCs w:val="22"/>
        </w:rPr>
      </w:pPr>
      <w:r>
        <w:rPr>
          <w:rFonts w:eastAsia="Arial" w:cs="Arial" w:ascii="Arial" w:hAnsi="Arial"/>
          <w:color w:val="000000"/>
          <w:sz w:val="22"/>
          <w:szCs w:val="22"/>
        </w:rPr>
        <w:t xml:space="preserve">Phillips, S. J., Dudík, M., Elith, J., Graham, C. H., Lehmann, A., Leathwick, J., &amp; Ferrier, S. (2009). Sample selection bias and presence-only distribution models: Implications for background and pseudo-absence data. </w:t>
      </w:r>
      <w:r>
        <w:rPr>
          <w:rFonts w:eastAsia="Arial" w:cs="Arial" w:ascii="Arial" w:hAnsi="Arial"/>
          <w:i/>
          <w:color w:val="000000"/>
          <w:sz w:val="22"/>
          <w:szCs w:val="22"/>
        </w:rPr>
        <w:t>Ecological Applications</w:t>
      </w:r>
      <w:r>
        <w:rPr>
          <w:rFonts w:eastAsia="Arial" w:cs="Arial" w:ascii="Arial" w:hAnsi="Arial"/>
          <w:color w:val="000000"/>
          <w:sz w:val="22"/>
          <w:szCs w:val="22"/>
        </w:rPr>
        <w:t xml:space="preserve">, </w:t>
      </w:r>
      <w:r>
        <w:rPr>
          <w:rFonts w:eastAsia="Arial" w:cs="Arial" w:ascii="Arial" w:hAnsi="Arial"/>
          <w:i/>
          <w:color w:val="000000"/>
          <w:sz w:val="22"/>
          <w:szCs w:val="22"/>
        </w:rPr>
        <w:t>19</w:t>
      </w:r>
      <w:r>
        <w:rPr>
          <w:rFonts w:eastAsia="Arial" w:cs="Arial" w:ascii="Arial" w:hAnsi="Arial"/>
          <w:color w:val="000000"/>
          <w:sz w:val="22"/>
          <w:szCs w:val="22"/>
        </w:rPr>
        <w:t xml:space="preserve">(1), 181–197. </w:t>
      </w:r>
      <w:r>
        <w:rPr>
          <w:rFonts w:ascii="Arial" w:hAnsi="Arial"/>
          <w:sz w:val="22"/>
          <w:szCs w:val="22"/>
        </w:rPr>
        <w:t>https://doi.org/10.1890/07-2153.1</w:t>
      </w:r>
    </w:p>
    <w:p>
      <w:pPr>
        <w:pStyle w:val="Normal"/>
        <w:ind w:left="720" w:hanging="720"/>
        <w:jc w:val="both"/>
        <w:rPr>
          <w:rFonts w:ascii="Arial" w:hAnsi="Arial"/>
          <w:sz w:val="22"/>
          <w:szCs w:val="22"/>
        </w:rPr>
      </w:pPr>
      <w:r>
        <w:rPr>
          <w:rFonts w:eastAsia="Arial" w:cs="Arial" w:ascii="Arial" w:hAnsi="Arial"/>
          <w:color w:val="000000"/>
          <w:sz w:val="22"/>
          <w:szCs w:val="22"/>
        </w:rPr>
        <w:t xml:space="preserve">Radosavljevic, A., &amp; Anderson, R. P. (2014). Making better Maxent models of species distributions: Complexity, overfitting and evaluation. </w:t>
      </w:r>
      <w:r>
        <w:rPr>
          <w:rFonts w:eastAsia="Arial" w:cs="Arial" w:ascii="Arial" w:hAnsi="Arial"/>
          <w:i/>
          <w:color w:val="000000"/>
          <w:sz w:val="22"/>
          <w:szCs w:val="22"/>
        </w:rPr>
        <w:t>Journal of Biogeography</w:t>
      </w:r>
      <w:r>
        <w:rPr>
          <w:rFonts w:eastAsia="Arial" w:cs="Arial" w:ascii="Arial" w:hAnsi="Arial"/>
          <w:color w:val="000000"/>
          <w:sz w:val="22"/>
          <w:szCs w:val="22"/>
        </w:rPr>
        <w:t xml:space="preserve">, </w:t>
      </w:r>
      <w:r>
        <w:rPr>
          <w:rFonts w:eastAsia="Arial" w:cs="Arial" w:ascii="Arial" w:hAnsi="Arial"/>
          <w:i/>
          <w:color w:val="000000"/>
          <w:sz w:val="22"/>
          <w:szCs w:val="22"/>
        </w:rPr>
        <w:t>41</w:t>
      </w:r>
      <w:r>
        <w:rPr>
          <w:rFonts w:eastAsia="Arial" w:cs="Arial" w:ascii="Arial" w:hAnsi="Arial"/>
          <w:color w:val="000000"/>
          <w:sz w:val="22"/>
          <w:szCs w:val="22"/>
        </w:rPr>
        <w:t xml:space="preserve">(4), 629–643. </w:t>
      </w:r>
      <w:r>
        <w:rPr>
          <w:rFonts w:ascii="Arial" w:hAnsi="Arial"/>
          <w:sz w:val="22"/>
          <w:szCs w:val="22"/>
        </w:rPr>
        <w:t>https://doi.org/10.1111/jbi.12227</w:t>
      </w:r>
    </w:p>
    <w:p>
      <w:pPr>
        <w:pStyle w:val="Normal"/>
        <w:ind w:left="720" w:hanging="720"/>
        <w:jc w:val="both"/>
        <w:rPr>
          <w:rFonts w:ascii="Arial" w:hAnsi="Arial"/>
          <w:sz w:val="22"/>
          <w:szCs w:val="22"/>
        </w:rPr>
      </w:pPr>
      <w:r>
        <w:rPr>
          <w:rFonts w:eastAsia="Arial" w:cs="Arial" w:ascii="Arial" w:hAnsi="Arial"/>
          <w:color w:val="000000"/>
          <w:sz w:val="22"/>
          <w:szCs w:val="22"/>
        </w:rPr>
        <w:t xml:space="preserve">Warren, D. L., &amp; Seifert, S. N. (2011). Ecological niche modeling in Maxent: The importance of model complexity and the performance of model selection criteria. </w:t>
      </w:r>
      <w:r>
        <w:rPr>
          <w:rFonts w:eastAsia="Arial" w:cs="Arial" w:ascii="Arial" w:hAnsi="Arial"/>
          <w:i/>
          <w:color w:val="000000"/>
          <w:sz w:val="22"/>
          <w:szCs w:val="22"/>
        </w:rPr>
        <w:t>Ecological Applications</w:t>
      </w:r>
      <w:r>
        <w:rPr>
          <w:rFonts w:eastAsia="Arial" w:cs="Arial" w:ascii="Arial" w:hAnsi="Arial"/>
          <w:color w:val="000000"/>
          <w:sz w:val="22"/>
          <w:szCs w:val="22"/>
        </w:rPr>
        <w:t xml:space="preserve">, </w:t>
      </w:r>
      <w:r>
        <w:rPr>
          <w:rFonts w:eastAsia="Arial" w:cs="Arial" w:ascii="Arial" w:hAnsi="Arial"/>
          <w:i/>
          <w:color w:val="000000"/>
          <w:sz w:val="22"/>
          <w:szCs w:val="22"/>
        </w:rPr>
        <w:t>21</w:t>
      </w:r>
      <w:r>
        <w:rPr>
          <w:rFonts w:eastAsia="Arial" w:cs="Arial" w:ascii="Arial" w:hAnsi="Arial"/>
          <w:color w:val="000000"/>
          <w:sz w:val="22"/>
          <w:szCs w:val="22"/>
        </w:rPr>
        <w:t xml:space="preserve">(2), 335–342. </w:t>
      </w:r>
      <w:r>
        <w:rPr>
          <w:rFonts w:ascii="Arial" w:hAnsi="Arial"/>
          <w:sz w:val="22"/>
          <w:szCs w:val="22"/>
        </w:rPr>
        <w:t>https://doi.org/10.1890/10-1171.1</w:t>
      </w:r>
    </w:p>
    <w:p>
      <w:pPr>
        <w:pStyle w:val="Normal"/>
        <w:ind w:left="720" w:hanging="720"/>
        <w:jc w:val="both"/>
        <w:rPr>
          <w:rFonts w:ascii="Arial" w:hAnsi="Arial" w:eastAsia="Arial" w:cs="Arial"/>
          <w:color w:val="000000"/>
          <w:sz w:val="22"/>
          <w:szCs w:val="22"/>
        </w:rPr>
      </w:pPr>
      <w:r>
        <w:rPr>
          <w:rFonts w:eastAsia="Arial" w:cs="Arial" w:ascii="Arial" w:hAnsi="Arial"/>
          <w:color w:val="000000"/>
          <w:sz w:val="22"/>
          <w:szCs w:val="22"/>
        </w:rPr>
      </w:r>
    </w:p>
    <w:p>
      <w:pPr>
        <w:pStyle w:val="LOnormal"/>
        <w:ind w:left="720" w:hanging="720"/>
        <w:jc w:val="both"/>
        <w:rPr>
          <w:rFonts w:ascii="Arial" w:hAnsi="Arial" w:eastAsia="Arial" w:cs="Arial"/>
          <w:color w:val="000000"/>
          <w:sz w:val="22"/>
          <w:szCs w:val="22"/>
        </w:rPr>
      </w:pPr>
      <w:r>
        <w:rPr>
          <w:rFonts w:eastAsia="Arial" w:cs="Arial" w:ascii="Arial" w:hAnsi="Arial"/>
          <w:color w:val="000000"/>
          <w:sz w:val="22"/>
          <w:szCs w:val="22"/>
        </w:rPr>
      </w:r>
    </w:p>
    <w:p>
      <w:pPr>
        <w:pStyle w:val="LOnormal"/>
        <w:ind w:left="720" w:hanging="720"/>
        <w:jc w:val="both"/>
        <w:rPr/>
      </w:pPr>
      <w:r>
        <w:rPr/>
      </w:r>
      <w:r>
        <w:br w:type="page"/>
      </w:r>
    </w:p>
    <w:p>
      <w:pPr>
        <w:pStyle w:val="TextBody"/>
        <w:rPr/>
      </w:pPr>
      <w:r>
        <w:rPr>
          <w:rFonts w:ascii="Arial" w:hAnsi="Arial"/>
          <w:b/>
          <w:bCs/>
          <w:sz w:val="22"/>
          <w:szCs w:val="22"/>
        </w:rPr>
        <w:t xml:space="preserve">Table S2.2. </w:t>
      </w:r>
      <w:r>
        <w:rPr>
          <w:rFonts w:ascii="Arial" w:hAnsi="Arial"/>
          <w:sz w:val="22"/>
          <w:szCs w:val="22"/>
        </w:rPr>
        <w:t>Details of three different predictor datasets used for building Maxent models for each species.</w:t>
      </w:r>
    </w:p>
    <w:tbl>
      <w:tblPr>
        <w:tblW w:w="9972" w:type="dxa"/>
        <w:jc w:val="left"/>
        <w:tblInd w:w="0" w:type="dxa"/>
        <w:tblCellMar>
          <w:top w:w="55" w:type="dxa"/>
          <w:left w:w="55" w:type="dxa"/>
          <w:bottom w:w="55" w:type="dxa"/>
          <w:right w:w="55" w:type="dxa"/>
        </w:tblCellMar>
        <w:tblLook w:val="04a0" w:noVBand="1" w:noHBand="0" w:lastColumn="0" w:firstColumn="1" w:lastRow="0" w:firstRow="1"/>
      </w:tblPr>
      <w:tblGrid>
        <w:gridCol w:w="4985"/>
        <w:gridCol w:w="4986"/>
      </w:tblGrid>
      <w:tr>
        <w:trPr/>
        <w:tc>
          <w:tcPr>
            <w:tcW w:w="4985" w:type="dxa"/>
            <w:tcBorders>
              <w:top w:val="single" w:sz="2" w:space="0" w:color="000000"/>
              <w:left w:val="single" w:sz="2" w:space="0" w:color="000000"/>
              <w:bottom w:val="single" w:sz="2" w:space="0" w:color="000000"/>
            </w:tcBorders>
            <w:shd w:color="auto" w:fill="auto" w:val="clear"/>
          </w:tcPr>
          <w:p>
            <w:pPr>
              <w:pStyle w:val="TableContents"/>
              <w:rPr>
                <w:rFonts w:ascii="Arial" w:hAnsi="Arial"/>
                <w:b/>
                <w:b/>
                <w:bCs/>
                <w:sz w:val="22"/>
                <w:szCs w:val="22"/>
              </w:rPr>
            </w:pPr>
            <w:r>
              <w:rPr>
                <w:rFonts w:ascii="Arial" w:hAnsi="Arial"/>
                <w:b/>
                <w:bCs/>
                <w:sz w:val="22"/>
                <w:szCs w:val="22"/>
              </w:rPr>
              <w:t>Predictor dataset</w:t>
            </w:r>
          </w:p>
        </w:tc>
        <w:tc>
          <w:tcPr>
            <w:tcW w:w="4986" w:type="dxa"/>
            <w:tcBorders>
              <w:top w:val="single" w:sz="2" w:space="0" w:color="000000"/>
              <w:left w:val="single" w:sz="2" w:space="0" w:color="000000"/>
              <w:bottom w:val="single" w:sz="2" w:space="0" w:color="000000"/>
              <w:right w:val="single" w:sz="2" w:space="0" w:color="000000"/>
            </w:tcBorders>
            <w:shd w:color="auto" w:fill="auto" w:val="clear"/>
          </w:tcPr>
          <w:p>
            <w:pPr>
              <w:pStyle w:val="TableContents"/>
              <w:rPr>
                <w:rFonts w:ascii="Arial" w:hAnsi="Arial"/>
                <w:b/>
                <w:b/>
                <w:bCs/>
                <w:sz w:val="22"/>
                <w:szCs w:val="22"/>
              </w:rPr>
            </w:pPr>
            <w:r>
              <w:rPr>
                <w:rFonts w:ascii="Arial" w:hAnsi="Arial"/>
                <w:b/>
                <w:bCs/>
                <w:sz w:val="22"/>
                <w:szCs w:val="22"/>
              </w:rPr>
              <w:t>Environmental variables</w:t>
            </w:r>
          </w:p>
        </w:tc>
      </w:tr>
      <w:tr>
        <w:trPr/>
        <w:tc>
          <w:tcPr>
            <w:tcW w:w="4985" w:type="dxa"/>
            <w:tcBorders>
              <w:left w:val="single" w:sz="2" w:space="0" w:color="000000"/>
              <w:bottom w:val="single" w:sz="2" w:space="0" w:color="000000"/>
            </w:tcBorders>
            <w:shd w:color="auto" w:fill="auto" w:val="clear"/>
          </w:tcPr>
          <w:p>
            <w:pPr>
              <w:pStyle w:val="TableContents"/>
              <w:rPr/>
            </w:pPr>
            <w:r>
              <w:rPr>
                <w:rFonts w:ascii="Arial" w:hAnsi="Arial"/>
                <w:sz w:val="22"/>
                <w:szCs w:val="22"/>
              </w:rPr>
              <w:t>1. All WorldClim +Elevation + Soil type</w:t>
            </w:r>
          </w:p>
        </w:tc>
        <w:tc>
          <w:tcPr>
            <w:tcW w:w="4986" w:type="dxa"/>
            <w:tcBorders>
              <w:left w:val="single" w:sz="2" w:space="0" w:color="000000"/>
              <w:bottom w:val="single" w:sz="2" w:space="0" w:color="000000"/>
              <w:right w:val="single" w:sz="2" w:space="0" w:color="000000"/>
            </w:tcBorders>
            <w:shd w:color="auto" w:fill="auto" w:val="clear"/>
          </w:tcPr>
          <w:p>
            <w:pPr>
              <w:pStyle w:val="TableContents"/>
              <w:rPr>
                <w:rFonts w:ascii="Arial" w:hAnsi="Arial"/>
                <w:sz w:val="22"/>
                <w:szCs w:val="22"/>
              </w:rPr>
            </w:pPr>
            <w:r>
              <w:rPr>
                <w:rFonts w:ascii="Arial" w:hAnsi="Arial"/>
                <w:sz w:val="22"/>
                <w:szCs w:val="22"/>
              </w:rPr>
              <w:t>1. ann_mean_temp</w:t>
            </w:r>
          </w:p>
          <w:p>
            <w:pPr>
              <w:pStyle w:val="TableContents"/>
              <w:rPr>
                <w:rFonts w:ascii="Arial" w:hAnsi="Arial"/>
                <w:sz w:val="22"/>
                <w:szCs w:val="22"/>
              </w:rPr>
            </w:pPr>
            <w:r>
              <w:rPr>
                <w:rFonts w:ascii="Arial" w:hAnsi="Arial"/>
                <w:sz w:val="22"/>
                <w:szCs w:val="22"/>
              </w:rPr>
              <w:t>2. mean_temp_warmQ</w:t>
            </w:r>
          </w:p>
          <w:p>
            <w:pPr>
              <w:pStyle w:val="TableContents"/>
              <w:rPr>
                <w:rFonts w:ascii="Arial" w:hAnsi="Arial"/>
                <w:sz w:val="22"/>
                <w:szCs w:val="22"/>
              </w:rPr>
            </w:pPr>
            <w:r>
              <w:rPr>
                <w:rFonts w:ascii="Arial" w:hAnsi="Arial"/>
                <w:sz w:val="22"/>
                <w:szCs w:val="22"/>
              </w:rPr>
              <w:t>3. mean_temp_coldQ</w:t>
            </w:r>
          </w:p>
          <w:p>
            <w:pPr>
              <w:pStyle w:val="TableContents"/>
              <w:rPr>
                <w:rFonts w:ascii="Arial" w:hAnsi="Arial"/>
                <w:sz w:val="22"/>
                <w:szCs w:val="22"/>
              </w:rPr>
            </w:pPr>
            <w:r>
              <w:rPr>
                <w:rFonts w:ascii="Arial" w:hAnsi="Arial"/>
                <w:sz w:val="22"/>
                <w:szCs w:val="22"/>
              </w:rPr>
              <w:t>4. ann_prec</w:t>
            </w:r>
          </w:p>
          <w:p>
            <w:pPr>
              <w:pStyle w:val="TableContents"/>
              <w:rPr>
                <w:rFonts w:ascii="Arial" w:hAnsi="Arial"/>
                <w:sz w:val="22"/>
                <w:szCs w:val="22"/>
              </w:rPr>
            </w:pPr>
            <w:r>
              <w:rPr>
                <w:rFonts w:ascii="Arial" w:hAnsi="Arial"/>
                <w:sz w:val="22"/>
                <w:szCs w:val="22"/>
              </w:rPr>
              <w:t>5. prec_wet_month</w:t>
            </w:r>
          </w:p>
          <w:p>
            <w:pPr>
              <w:pStyle w:val="TableContents"/>
              <w:rPr>
                <w:rFonts w:ascii="Arial" w:hAnsi="Arial"/>
                <w:sz w:val="22"/>
                <w:szCs w:val="22"/>
              </w:rPr>
            </w:pPr>
            <w:r>
              <w:rPr>
                <w:rFonts w:ascii="Arial" w:hAnsi="Arial"/>
                <w:sz w:val="22"/>
                <w:szCs w:val="22"/>
              </w:rPr>
              <w:t>6. prec_dry_month</w:t>
            </w:r>
          </w:p>
          <w:p>
            <w:pPr>
              <w:pStyle w:val="TableContents"/>
              <w:rPr>
                <w:rFonts w:ascii="Arial" w:hAnsi="Arial"/>
                <w:sz w:val="22"/>
                <w:szCs w:val="22"/>
              </w:rPr>
            </w:pPr>
            <w:r>
              <w:rPr>
                <w:rFonts w:ascii="Arial" w:hAnsi="Arial"/>
                <w:sz w:val="22"/>
                <w:szCs w:val="22"/>
              </w:rPr>
              <w:t>7. prec_season</w:t>
            </w:r>
          </w:p>
          <w:p>
            <w:pPr>
              <w:pStyle w:val="TableContents"/>
              <w:rPr>
                <w:rFonts w:ascii="Arial" w:hAnsi="Arial"/>
                <w:sz w:val="22"/>
                <w:szCs w:val="22"/>
              </w:rPr>
            </w:pPr>
            <w:r>
              <w:rPr>
                <w:rFonts w:ascii="Arial" w:hAnsi="Arial"/>
                <w:sz w:val="22"/>
                <w:szCs w:val="22"/>
              </w:rPr>
              <w:t xml:space="preserve">8. prec_wetQ      </w:t>
            </w:r>
          </w:p>
          <w:p>
            <w:pPr>
              <w:pStyle w:val="TableContents"/>
              <w:rPr>
                <w:rFonts w:ascii="Arial" w:hAnsi="Arial"/>
                <w:sz w:val="22"/>
                <w:szCs w:val="22"/>
              </w:rPr>
            </w:pPr>
            <w:r>
              <w:rPr>
                <w:rFonts w:ascii="Arial" w:hAnsi="Arial"/>
                <w:sz w:val="22"/>
                <w:szCs w:val="22"/>
              </w:rPr>
              <w:t>9. prec_dryQ</w:t>
            </w:r>
          </w:p>
          <w:p>
            <w:pPr>
              <w:pStyle w:val="TableContents"/>
              <w:rPr>
                <w:rFonts w:ascii="Arial" w:hAnsi="Arial"/>
                <w:sz w:val="22"/>
                <w:szCs w:val="22"/>
              </w:rPr>
            </w:pPr>
            <w:r>
              <w:rPr>
                <w:rFonts w:ascii="Arial" w:hAnsi="Arial"/>
                <w:sz w:val="22"/>
                <w:szCs w:val="22"/>
              </w:rPr>
              <w:t>10. prec_warmQ</w:t>
            </w:r>
          </w:p>
          <w:p>
            <w:pPr>
              <w:pStyle w:val="TableContents"/>
              <w:rPr>
                <w:rFonts w:ascii="Arial" w:hAnsi="Arial"/>
                <w:sz w:val="22"/>
                <w:szCs w:val="22"/>
              </w:rPr>
            </w:pPr>
            <w:r>
              <w:rPr>
                <w:rFonts w:ascii="Arial" w:hAnsi="Arial"/>
                <w:sz w:val="22"/>
                <w:szCs w:val="22"/>
              </w:rPr>
              <w:t>11. prec_coldQ</w:t>
            </w:r>
          </w:p>
          <w:p>
            <w:pPr>
              <w:pStyle w:val="TableContents"/>
              <w:rPr>
                <w:rFonts w:ascii="Arial" w:hAnsi="Arial"/>
                <w:sz w:val="22"/>
                <w:szCs w:val="22"/>
              </w:rPr>
            </w:pPr>
            <w:r>
              <w:rPr>
                <w:rFonts w:ascii="Arial" w:hAnsi="Arial"/>
                <w:sz w:val="22"/>
                <w:szCs w:val="22"/>
              </w:rPr>
              <w:t>12. mean_diur_range</w:t>
            </w:r>
          </w:p>
          <w:p>
            <w:pPr>
              <w:pStyle w:val="TableContents"/>
              <w:rPr>
                <w:rFonts w:ascii="Arial" w:hAnsi="Arial"/>
                <w:sz w:val="22"/>
                <w:szCs w:val="22"/>
              </w:rPr>
            </w:pPr>
            <w:r>
              <w:rPr>
                <w:rFonts w:ascii="Arial" w:hAnsi="Arial"/>
                <w:sz w:val="22"/>
                <w:szCs w:val="22"/>
              </w:rPr>
              <w:t>13. isotherm</w:t>
            </w:r>
          </w:p>
          <w:p>
            <w:pPr>
              <w:pStyle w:val="TableContents"/>
              <w:rPr>
                <w:rFonts w:ascii="Arial" w:hAnsi="Arial"/>
                <w:sz w:val="22"/>
                <w:szCs w:val="22"/>
              </w:rPr>
            </w:pPr>
            <w:r>
              <w:rPr>
                <w:rFonts w:ascii="Arial" w:hAnsi="Arial"/>
                <w:sz w:val="22"/>
                <w:szCs w:val="22"/>
              </w:rPr>
              <w:t>14. temp_season</w:t>
            </w:r>
          </w:p>
          <w:p>
            <w:pPr>
              <w:pStyle w:val="TableContents"/>
              <w:rPr>
                <w:rFonts w:ascii="Arial" w:hAnsi="Arial"/>
                <w:sz w:val="22"/>
                <w:szCs w:val="22"/>
              </w:rPr>
            </w:pPr>
            <w:r>
              <w:rPr>
                <w:rFonts w:ascii="Arial" w:hAnsi="Arial"/>
                <w:sz w:val="22"/>
                <w:szCs w:val="22"/>
              </w:rPr>
              <w:t>15. max_temp</w:t>
            </w:r>
          </w:p>
          <w:p>
            <w:pPr>
              <w:pStyle w:val="TableContents"/>
              <w:rPr>
                <w:rFonts w:ascii="Arial" w:hAnsi="Arial"/>
                <w:sz w:val="22"/>
                <w:szCs w:val="22"/>
              </w:rPr>
            </w:pPr>
            <w:r>
              <w:rPr>
                <w:rFonts w:ascii="Arial" w:hAnsi="Arial"/>
                <w:sz w:val="22"/>
                <w:szCs w:val="22"/>
              </w:rPr>
              <w:t xml:space="preserve">16. min_temp       </w:t>
            </w:r>
          </w:p>
          <w:p>
            <w:pPr>
              <w:pStyle w:val="TableContents"/>
              <w:rPr>
                <w:rFonts w:ascii="Arial" w:hAnsi="Arial"/>
                <w:sz w:val="22"/>
                <w:szCs w:val="22"/>
              </w:rPr>
            </w:pPr>
            <w:r>
              <w:rPr>
                <w:rFonts w:ascii="Arial" w:hAnsi="Arial"/>
                <w:sz w:val="22"/>
                <w:szCs w:val="22"/>
              </w:rPr>
              <w:t xml:space="preserve">17. ann_range_temp </w:t>
            </w:r>
          </w:p>
          <w:p>
            <w:pPr>
              <w:pStyle w:val="TableContents"/>
              <w:rPr>
                <w:rFonts w:ascii="Arial" w:hAnsi="Arial"/>
                <w:sz w:val="22"/>
                <w:szCs w:val="22"/>
              </w:rPr>
            </w:pPr>
            <w:r>
              <w:rPr>
                <w:rFonts w:ascii="Arial" w:hAnsi="Arial"/>
                <w:sz w:val="22"/>
                <w:szCs w:val="22"/>
              </w:rPr>
              <w:t>18. mean_temp_wetQ</w:t>
            </w:r>
          </w:p>
          <w:p>
            <w:pPr>
              <w:pStyle w:val="TableContents"/>
              <w:rPr>
                <w:rFonts w:ascii="Arial" w:hAnsi="Arial"/>
                <w:sz w:val="22"/>
                <w:szCs w:val="22"/>
              </w:rPr>
            </w:pPr>
            <w:r>
              <w:rPr>
                <w:rFonts w:ascii="Arial" w:hAnsi="Arial"/>
                <w:sz w:val="22"/>
                <w:szCs w:val="22"/>
              </w:rPr>
              <w:t>19. mean_temp_dryQ</w:t>
            </w:r>
          </w:p>
          <w:p>
            <w:pPr>
              <w:pStyle w:val="TableContents"/>
              <w:rPr>
                <w:rFonts w:ascii="Arial" w:hAnsi="Arial"/>
                <w:sz w:val="22"/>
                <w:szCs w:val="22"/>
              </w:rPr>
            </w:pPr>
            <w:r>
              <w:rPr>
                <w:rFonts w:ascii="Arial" w:hAnsi="Arial"/>
                <w:sz w:val="22"/>
                <w:szCs w:val="22"/>
              </w:rPr>
              <w:t xml:space="preserve">20. elevation      </w:t>
            </w:r>
          </w:p>
          <w:p>
            <w:pPr>
              <w:pStyle w:val="TableContents"/>
              <w:rPr>
                <w:rFonts w:ascii="Arial" w:hAnsi="Arial"/>
                <w:sz w:val="22"/>
                <w:szCs w:val="22"/>
              </w:rPr>
            </w:pPr>
            <w:r>
              <w:rPr>
                <w:rFonts w:ascii="Arial" w:hAnsi="Arial"/>
                <w:sz w:val="22"/>
                <w:szCs w:val="22"/>
              </w:rPr>
              <w:t xml:space="preserve">21. soil_stype     </w:t>
            </w:r>
          </w:p>
        </w:tc>
      </w:tr>
      <w:tr>
        <w:trPr/>
        <w:tc>
          <w:tcPr>
            <w:tcW w:w="4985" w:type="dxa"/>
            <w:tcBorders>
              <w:left w:val="single" w:sz="2" w:space="0" w:color="000000"/>
              <w:bottom w:val="single" w:sz="2" w:space="0" w:color="000000"/>
            </w:tcBorders>
            <w:shd w:color="auto" w:fill="auto" w:val="clear"/>
          </w:tcPr>
          <w:p>
            <w:pPr>
              <w:pStyle w:val="TableContents"/>
              <w:rPr>
                <w:rFonts w:ascii="Arial" w:hAnsi="Arial"/>
                <w:sz w:val="22"/>
                <w:szCs w:val="22"/>
              </w:rPr>
            </w:pPr>
            <w:r>
              <w:rPr>
                <w:rFonts w:ascii="Arial" w:hAnsi="Arial"/>
                <w:sz w:val="22"/>
                <w:szCs w:val="22"/>
              </w:rPr>
              <w:t>2. Ecologically preselected variables</w:t>
            </w:r>
          </w:p>
        </w:tc>
        <w:tc>
          <w:tcPr>
            <w:tcW w:w="4986" w:type="dxa"/>
            <w:tcBorders>
              <w:left w:val="single" w:sz="2" w:space="0" w:color="000000"/>
              <w:bottom w:val="single" w:sz="2" w:space="0" w:color="000000"/>
              <w:right w:val="single" w:sz="2" w:space="0" w:color="000000"/>
            </w:tcBorders>
            <w:shd w:color="auto" w:fill="auto" w:val="clear"/>
          </w:tcPr>
          <w:p>
            <w:pPr>
              <w:pStyle w:val="TableContents"/>
              <w:rPr>
                <w:rFonts w:ascii="Arial" w:hAnsi="Arial"/>
                <w:sz w:val="22"/>
                <w:szCs w:val="22"/>
              </w:rPr>
            </w:pPr>
            <w:r>
              <w:rPr>
                <w:rFonts w:ascii="Arial" w:hAnsi="Arial"/>
                <w:sz w:val="22"/>
                <w:szCs w:val="22"/>
              </w:rPr>
              <w:t>1. ann_mean_temp</w:t>
            </w:r>
          </w:p>
          <w:p>
            <w:pPr>
              <w:pStyle w:val="TableContents"/>
              <w:rPr>
                <w:rFonts w:ascii="Arial" w:hAnsi="Arial"/>
                <w:sz w:val="22"/>
                <w:szCs w:val="22"/>
              </w:rPr>
            </w:pPr>
            <w:r>
              <w:rPr>
                <w:rFonts w:ascii="Arial" w:hAnsi="Arial"/>
                <w:sz w:val="22"/>
                <w:szCs w:val="22"/>
              </w:rPr>
              <w:t>2. ann_prec</w:t>
            </w:r>
          </w:p>
          <w:p>
            <w:pPr>
              <w:pStyle w:val="TableContents"/>
              <w:rPr>
                <w:rFonts w:ascii="Arial" w:hAnsi="Arial"/>
                <w:sz w:val="22"/>
                <w:szCs w:val="22"/>
              </w:rPr>
            </w:pPr>
            <w:r>
              <w:rPr>
                <w:rFonts w:ascii="Arial" w:hAnsi="Arial"/>
                <w:sz w:val="22"/>
                <w:szCs w:val="22"/>
              </w:rPr>
              <w:t>3. prec_season</w:t>
            </w:r>
          </w:p>
          <w:p>
            <w:pPr>
              <w:pStyle w:val="TableContents"/>
              <w:rPr>
                <w:rFonts w:ascii="Arial" w:hAnsi="Arial"/>
                <w:sz w:val="22"/>
                <w:szCs w:val="22"/>
              </w:rPr>
            </w:pPr>
            <w:r>
              <w:rPr>
                <w:rFonts w:ascii="Arial" w:hAnsi="Arial"/>
                <w:sz w:val="22"/>
                <w:szCs w:val="22"/>
              </w:rPr>
              <w:t>4. prec_dryQ</w:t>
            </w:r>
          </w:p>
          <w:p>
            <w:pPr>
              <w:pStyle w:val="TableContents"/>
              <w:rPr>
                <w:rFonts w:ascii="Arial" w:hAnsi="Arial"/>
                <w:sz w:val="22"/>
                <w:szCs w:val="22"/>
              </w:rPr>
            </w:pPr>
            <w:r>
              <w:rPr>
                <w:rFonts w:ascii="Arial" w:hAnsi="Arial"/>
                <w:sz w:val="22"/>
                <w:szCs w:val="22"/>
              </w:rPr>
              <w:t>5. min_temp</w:t>
            </w:r>
          </w:p>
          <w:p>
            <w:pPr>
              <w:pStyle w:val="TableContents"/>
              <w:rPr>
                <w:rFonts w:ascii="Arial" w:hAnsi="Arial"/>
                <w:sz w:val="22"/>
                <w:szCs w:val="22"/>
              </w:rPr>
            </w:pPr>
            <w:r>
              <w:rPr>
                <w:rFonts w:ascii="Arial" w:hAnsi="Arial"/>
                <w:sz w:val="22"/>
                <w:szCs w:val="22"/>
              </w:rPr>
              <w:t>6. elevation</w:t>
            </w:r>
          </w:p>
          <w:p>
            <w:pPr>
              <w:pStyle w:val="TableContents"/>
              <w:rPr>
                <w:rFonts w:ascii="Arial" w:hAnsi="Arial"/>
                <w:sz w:val="22"/>
                <w:szCs w:val="22"/>
              </w:rPr>
            </w:pPr>
            <w:r>
              <w:rPr>
                <w:rFonts w:ascii="Arial" w:hAnsi="Arial"/>
                <w:sz w:val="22"/>
                <w:szCs w:val="22"/>
              </w:rPr>
              <w:t xml:space="preserve">7. soil_stype   </w:t>
            </w:r>
          </w:p>
        </w:tc>
      </w:tr>
      <w:tr>
        <w:trPr/>
        <w:tc>
          <w:tcPr>
            <w:tcW w:w="4985" w:type="dxa"/>
            <w:tcBorders>
              <w:left w:val="single" w:sz="2" w:space="0" w:color="000000"/>
              <w:bottom w:val="single" w:sz="2" w:space="0" w:color="000000"/>
            </w:tcBorders>
            <w:shd w:color="auto" w:fill="auto" w:val="clear"/>
          </w:tcPr>
          <w:p>
            <w:pPr>
              <w:pStyle w:val="TableContents"/>
              <w:rPr>
                <w:rFonts w:ascii="Arial" w:hAnsi="Arial"/>
                <w:sz w:val="22"/>
                <w:szCs w:val="22"/>
              </w:rPr>
            </w:pPr>
            <w:r>
              <w:rPr>
                <w:rFonts w:ascii="Arial" w:hAnsi="Arial"/>
                <w:sz w:val="22"/>
                <w:szCs w:val="22"/>
              </w:rPr>
              <w:t>3. Primary WorldClim + Elevation + Soil type</w:t>
            </w:r>
          </w:p>
        </w:tc>
        <w:tc>
          <w:tcPr>
            <w:tcW w:w="4986" w:type="dxa"/>
            <w:tcBorders>
              <w:left w:val="single" w:sz="2" w:space="0" w:color="000000"/>
              <w:bottom w:val="single" w:sz="2" w:space="0" w:color="000000"/>
              <w:right w:val="single" w:sz="2" w:space="0" w:color="000000"/>
            </w:tcBorders>
            <w:shd w:color="auto" w:fill="auto" w:val="clear"/>
          </w:tcPr>
          <w:p>
            <w:pPr>
              <w:pStyle w:val="TableContents"/>
              <w:rPr>
                <w:rFonts w:ascii="Arial" w:hAnsi="Arial"/>
                <w:sz w:val="22"/>
                <w:szCs w:val="22"/>
              </w:rPr>
            </w:pPr>
            <w:r>
              <w:rPr>
                <w:rFonts w:ascii="Arial" w:hAnsi="Arial"/>
                <w:sz w:val="22"/>
                <w:szCs w:val="22"/>
              </w:rPr>
              <w:t>1. ann_mean_temp</w:t>
            </w:r>
          </w:p>
          <w:p>
            <w:pPr>
              <w:pStyle w:val="TableContents"/>
              <w:rPr>
                <w:rFonts w:ascii="Arial" w:hAnsi="Arial"/>
                <w:sz w:val="22"/>
                <w:szCs w:val="22"/>
              </w:rPr>
            </w:pPr>
            <w:r>
              <w:rPr>
                <w:rFonts w:ascii="Arial" w:hAnsi="Arial"/>
                <w:sz w:val="22"/>
                <w:szCs w:val="22"/>
              </w:rPr>
              <w:t>2. max_temp</w:t>
            </w:r>
          </w:p>
          <w:p>
            <w:pPr>
              <w:pStyle w:val="TableContents"/>
              <w:rPr>
                <w:rFonts w:ascii="Arial" w:hAnsi="Arial"/>
                <w:sz w:val="22"/>
                <w:szCs w:val="22"/>
              </w:rPr>
            </w:pPr>
            <w:r>
              <w:rPr>
                <w:rFonts w:ascii="Arial" w:hAnsi="Arial"/>
                <w:sz w:val="22"/>
                <w:szCs w:val="22"/>
              </w:rPr>
              <w:t>3. min_temp</w:t>
            </w:r>
          </w:p>
          <w:p>
            <w:pPr>
              <w:pStyle w:val="TableContents"/>
              <w:rPr>
                <w:rFonts w:ascii="Arial" w:hAnsi="Arial"/>
                <w:sz w:val="22"/>
                <w:szCs w:val="22"/>
              </w:rPr>
            </w:pPr>
            <w:r>
              <w:rPr>
                <w:rFonts w:ascii="Arial" w:hAnsi="Arial"/>
                <w:sz w:val="22"/>
                <w:szCs w:val="22"/>
              </w:rPr>
              <w:t xml:space="preserve">4. ann_prec      </w:t>
            </w:r>
          </w:p>
          <w:p>
            <w:pPr>
              <w:pStyle w:val="TableContents"/>
              <w:rPr>
                <w:rFonts w:ascii="Arial" w:hAnsi="Arial"/>
                <w:sz w:val="22"/>
                <w:szCs w:val="22"/>
              </w:rPr>
            </w:pPr>
            <w:r>
              <w:rPr>
                <w:rFonts w:ascii="Arial" w:hAnsi="Arial"/>
                <w:sz w:val="22"/>
                <w:szCs w:val="22"/>
              </w:rPr>
              <w:t>5. prec_wet_month</w:t>
            </w:r>
          </w:p>
          <w:p>
            <w:pPr>
              <w:pStyle w:val="TableContents"/>
              <w:rPr>
                <w:rFonts w:ascii="Arial" w:hAnsi="Arial"/>
                <w:sz w:val="22"/>
                <w:szCs w:val="22"/>
              </w:rPr>
            </w:pPr>
            <w:r>
              <w:rPr>
                <w:rFonts w:ascii="Arial" w:hAnsi="Arial"/>
                <w:sz w:val="22"/>
                <w:szCs w:val="22"/>
              </w:rPr>
              <w:t>6. prec_dry_month</w:t>
            </w:r>
          </w:p>
          <w:p>
            <w:pPr>
              <w:pStyle w:val="TableContents"/>
              <w:rPr>
                <w:rFonts w:ascii="Arial" w:hAnsi="Arial"/>
                <w:sz w:val="22"/>
                <w:szCs w:val="22"/>
              </w:rPr>
            </w:pPr>
            <w:r>
              <w:rPr>
                <w:rFonts w:ascii="Arial" w:hAnsi="Arial"/>
                <w:sz w:val="22"/>
                <w:szCs w:val="22"/>
              </w:rPr>
              <w:t>7. elevation</w:t>
            </w:r>
          </w:p>
          <w:p>
            <w:pPr>
              <w:pStyle w:val="TableContents"/>
              <w:rPr>
                <w:rFonts w:ascii="Arial" w:hAnsi="Arial"/>
                <w:sz w:val="22"/>
                <w:szCs w:val="22"/>
              </w:rPr>
            </w:pPr>
            <w:r>
              <w:rPr>
                <w:rFonts w:ascii="Arial" w:hAnsi="Arial"/>
                <w:sz w:val="22"/>
                <w:szCs w:val="22"/>
              </w:rPr>
              <w:t xml:space="preserve">8. soil_stype </w:t>
            </w:r>
          </w:p>
        </w:tc>
      </w:tr>
    </w:tbl>
    <w:p>
      <w:pPr>
        <w:pStyle w:val="LOnormal"/>
        <w:ind w:left="720" w:hanging="720"/>
        <w:jc w:val="both"/>
        <w:rPr>
          <w:rFonts w:ascii="Arial" w:hAnsi="Arial" w:eastAsia="Arial" w:cs="Arial"/>
          <w:color w:val="000000"/>
          <w:sz w:val="22"/>
          <w:szCs w:val="22"/>
        </w:rPr>
      </w:pPr>
      <w:r>
        <w:rPr>
          <w:rFonts w:eastAsia="Arial" w:cs="Arial" w:ascii="Arial" w:hAnsi="Arial"/>
          <w:color w:val="000000"/>
          <w:sz w:val="22"/>
          <w:szCs w:val="22"/>
        </w:rPr>
      </w:r>
    </w:p>
    <w:p>
      <w:pPr>
        <w:pStyle w:val="LOnormal"/>
        <w:jc w:val="both"/>
        <w:rPr>
          <w:rFonts w:ascii="Arial" w:hAnsi="Arial" w:eastAsia="Arial" w:cs="Arial"/>
          <w:b/>
          <w:b/>
          <w:sz w:val="22"/>
          <w:szCs w:val="22"/>
        </w:rPr>
      </w:pPr>
      <w:r>
        <w:rPr>
          <w:rFonts w:eastAsia="Arial" w:cs="Arial" w:ascii="Arial" w:hAnsi="Arial"/>
          <w:b/>
          <w:sz w:val="22"/>
          <w:szCs w:val="22"/>
        </w:rPr>
        <w:t>Variable codes:</w:t>
      </w:r>
    </w:p>
    <w:p>
      <w:pPr>
        <w:pStyle w:val="LOnormal"/>
        <w:jc w:val="both"/>
        <w:rPr>
          <w:rFonts w:ascii="Arial" w:hAnsi="Arial" w:eastAsia="Arial" w:cs="Arial"/>
          <w:b/>
          <w:b/>
          <w:sz w:val="22"/>
          <w:szCs w:val="22"/>
        </w:rPr>
      </w:pPr>
      <w:r>
        <w:rPr>
          <w:rFonts w:eastAsia="Arial" w:cs="Arial" w:ascii="Arial" w:hAnsi="Arial"/>
          <w:b/>
          <w:sz w:val="22"/>
          <w:szCs w:val="22"/>
        </w:rPr>
      </w:r>
    </w:p>
    <w:p>
      <w:pPr>
        <w:sectPr>
          <w:footerReference w:type="default" r:id="rId2"/>
          <w:type w:val="nextPage"/>
          <w:pgSz w:w="12240" w:h="15840"/>
          <w:pgMar w:left="1134" w:right="1134" w:header="0" w:top="1134" w:footer="1134" w:bottom="1670" w:gutter="0"/>
          <w:pgNumType w:start="1" w:fmt="decimal"/>
          <w:formProt w:val="false"/>
          <w:textDirection w:val="lrTb"/>
          <w:docGrid w:type="default" w:linePitch="100" w:charSpace="0"/>
        </w:sectPr>
        <w:pStyle w:val="LOnormal"/>
        <w:ind w:hanging="720"/>
        <w:jc w:val="both"/>
        <w:rPr/>
      </w:pPr>
      <w:r>
        <w:rPr>
          <w:rFonts w:eastAsia="Arial" w:cs="Arial" w:ascii="Arial" w:hAnsi="Arial"/>
          <w:b/>
          <w:sz w:val="22"/>
          <w:szCs w:val="22"/>
        </w:rPr>
        <w:tab/>
        <w:t xml:space="preserve">ann_mean_temp – </w:t>
      </w:r>
      <w:r>
        <w:rPr>
          <w:rFonts w:eastAsia="Arial" w:cs="Arial" w:ascii="Arial" w:hAnsi="Arial"/>
          <w:sz w:val="22"/>
          <w:szCs w:val="22"/>
        </w:rPr>
        <w:t>annual mean temperature</w:t>
      </w:r>
      <w:r>
        <w:rPr>
          <w:rFonts w:eastAsia="Arial" w:cs="Arial" w:ascii="Arial" w:hAnsi="Arial"/>
          <w:b/>
          <w:sz w:val="22"/>
          <w:szCs w:val="22"/>
        </w:rPr>
        <w:t xml:space="preserve">, mean_temp_warmQ – </w:t>
      </w:r>
      <w:r>
        <w:rPr>
          <w:rFonts w:eastAsia="Arial" w:cs="Arial" w:ascii="Arial" w:hAnsi="Arial"/>
          <w:sz w:val="22"/>
          <w:szCs w:val="22"/>
        </w:rPr>
        <w:t xml:space="preserve">mean temperature of the warmest quarter, </w:t>
      </w:r>
      <w:r>
        <w:rPr>
          <w:rFonts w:eastAsia="Arial" w:cs="Arial" w:ascii="Arial" w:hAnsi="Arial"/>
          <w:b/>
          <w:bCs/>
          <w:sz w:val="22"/>
          <w:szCs w:val="22"/>
        </w:rPr>
        <w:t>mean_temp_coldQ</w:t>
      </w:r>
      <w:r>
        <w:rPr>
          <w:rFonts w:eastAsia="Arial" w:cs="Arial" w:ascii="Arial" w:hAnsi="Arial"/>
          <w:sz w:val="22"/>
          <w:szCs w:val="22"/>
        </w:rPr>
        <w:t xml:space="preserve"> – mean temperature of the coldest quarter, </w:t>
      </w:r>
      <w:r>
        <w:rPr>
          <w:rFonts w:eastAsia="Arial" w:cs="Arial" w:ascii="Arial" w:hAnsi="Arial"/>
          <w:b/>
          <w:sz w:val="22"/>
          <w:szCs w:val="22"/>
        </w:rPr>
        <w:t>ann_prec</w:t>
      </w:r>
      <w:r>
        <w:rPr>
          <w:rFonts w:eastAsia="Arial" w:cs="Arial" w:ascii="Arial" w:hAnsi="Arial"/>
          <w:sz w:val="22"/>
          <w:szCs w:val="22"/>
        </w:rPr>
        <w:t xml:space="preserve"> – annual precipitation, </w:t>
      </w:r>
      <w:r>
        <w:rPr>
          <w:rFonts w:eastAsia="Arial" w:cs="Arial" w:ascii="Arial" w:hAnsi="Arial"/>
          <w:b/>
          <w:bCs/>
          <w:sz w:val="22"/>
          <w:szCs w:val="22"/>
        </w:rPr>
        <w:t>prec_wet_month</w:t>
      </w:r>
      <w:r>
        <w:rPr>
          <w:rFonts w:eastAsia="Arial" w:cs="Arial" w:ascii="Arial" w:hAnsi="Arial"/>
          <w:sz w:val="22"/>
          <w:szCs w:val="22"/>
        </w:rPr>
        <w:t xml:space="preserve"> – precipitation of the wettest month, </w:t>
      </w:r>
      <w:r>
        <w:rPr>
          <w:rFonts w:eastAsia="Arial" w:cs="Arial" w:ascii="Arial" w:hAnsi="Arial"/>
          <w:b/>
          <w:sz w:val="22"/>
          <w:szCs w:val="22"/>
        </w:rPr>
        <w:t>prec_dry_month</w:t>
      </w:r>
      <w:r>
        <w:rPr>
          <w:rFonts w:eastAsia="Arial" w:cs="Arial" w:ascii="Arial" w:hAnsi="Arial"/>
          <w:sz w:val="22"/>
          <w:szCs w:val="22"/>
        </w:rPr>
        <w:t xml:space="preserve"> – precipitation of the driest month, </w:t>
      </w:r>
      <w:r>
        <w:rPr>
          <w:rFonts w:eastAsia="Arial" w:cs="Arial" w:ascii="Arial" w:hAnsi="Arial"/>
          <w:b/>
          <w:sz w:val="22"/>
          <w:szCs w:val="22"/>
        </w:rPr>
        <w:t>prec_season</w:t>
      </w:r>
      <w:r>
        <w:rPr>
          <w:rFonts w:eastAsia="Arial" w:cs="Arial" w:ascii="Arial" w:hAnsi="Arial"/>
          <w:sz w:val="22"/>
          <w:szCs w:val="22"/>
        </w:rPr>
        <w:t xml:space="preserve"> – precipitation seasonality, </w:t>
      </w:r>
      <w:r>
        <w:rPr>
          <w:rFonts w:eastAsia="Arial" w:cs="Arial" w:ascii="Arial" w:hAnsi="Arial"/>
          <w:b/>
          <w:bCs/>
          <w:sz w:val="22"/>
          <w:szCs w:val="22"/>
        </w:rPr>
        <w:t>prec_wetQ</w:t>
      </w:r>
      <w:r>
        <w:rPr>
          <w:rFonts w:eastAsia="Arial" w:cs="Arial" w:ascii="Arial" w:hAnsi="Arial"/>
          <w:sz w:val="22"/>
          <w:szCs w:val="22"/>
        </w:rPr>
        <w:t xml:space="preserve"> – precipitation of the wettest quarter, </w:t>
      </w:r>
      <w:r>
        <w:rPr>
          <w:rFonts w:eastAsia="Arial" w:cs="Arial" w:ascii="Arial" w:hAnsi="Arial"/>
          <w:b/>
          <w:sz w:val="22"/>
          <w:szCs w:val="22"/>
        </w:rPr>
        <w:t>prec_dryQ</w:t>
      </w:r>
      <w:r>
        <w:rPr>
          <w:rFonts w:eastAsia="Arial" w:cs="Arial" w:ascii="Arial" w:hAnsi="Arial"/>
          <w:sz w:val="22"/>
          <w:szCs w:val="22"/>
        </w:rPr>
        <w:t xml:space="preserve"> – preciptation of the driest quarter, </w:t>
      </w:r>
      <w:r>
        <w:rPr>
          <w:rFonts w:eastAsia="Arial" w:cs="Arial" w:ascii="Arial" w:hAnsi="Arial"/>
          <w:b/>
          <w:bCs/>
          <w:sz w:val="22"/>
          <w:szCs w:val="22"/>
        </w:rPr>
        <w:t>prec_warmQ</w:t>
      </w:r>
      <w:r>
        <w:rPr>
          <w:rFonts w:eastAsia="Arial" w:cs="Arial" w:ascii="Arial" w:hAnsi="Arial"/>
          <w:sz w:val="22"/>
          <w:szCs w:val="22"/>
        </w:rPr>
        <w:t xml:space="preserve"> – precipitation of the warmest quarter, </w:t>
      </w:r>
      <w:r>
        <w:rPr>
          <w:rFonts w:eastAsia="Arial" w:cs="Arial" w:ascii="Arial" w:hAnsi="Arial"/>
          <w:b/>
          <w:bCs/>
          <w:sz w:val="22"/>
          <w:szCs w:val="22"/>
        </w:rPr>
        <w:t>prec_coldQ</w:t>
      </w:r>
      <w:r>
        <w:rPr>
          <w:rFonts w:eastAsia="Arial" w:cs="Arial" w:ascii="Arial" w:hAnsi="Arial"/>
          <w:sz w:val="22"/>
          <w:szCs w:val="22"/>
        </w:rPr>
        <w:t xml:space="preserve"> – precipitation of the coldest quarter, </w:t>
      </w:r>
      <w:r>
        <w:rPr>
          <w:rFonts w:eastAsia="Arial" w:cs="Arial" w:ascii="Arial" w:hAnsi="Arial"/>
          <w:b/>
          <w:sz w:val="22"/>
          <w:szCs w:val="22"/>
        </w:rPr>
        <w:t>mean_diur_range</w:t>
      </w:r>
      <w:r>
        <w:rPr>
          <w:rFonts w:eastAsia="Arial" w:cs="Arial" w:ascii="Arial" w:hAnsi="Arial"/>
          <w:sz w:val="22"/>
          <w:szCs w:val="22"/>
        </w:rPr>
        <w:t xml:space="preserve"> – mean diurnal range of temperature, </w:t>
      </w:r>
      <w:r>
        <w:rPr>
          <w:rFonts w:eastAsia="Arial" w:cs="Arial" w:ascii="Arial" w:hAnsi="Arial"/>
          <w:b/>
          <w:bCs/>
          <w:sz w:val="22"/>
          <w:szCs w:val="22"/>
        </w:rPr>
        <w:t xml:space="preserve">isotherm – </w:t>
      </w:r>
      <w:r>
        <w:rPr>
          <w:rFonts w:eastAsia="Arial" w:cs="Arial" w:ascii="Arial" w:hAnsi="Arial"/>
          <w:sz w:val="22"/>
          <w:szCs w:val="22"/>
        </w:rPr>
        <w:t xml:space="preserve">isothermality, </w:t>
      </w:r>
      <w:r>
        <w:rPr>
          <w:rFonts w:eastAsia="Arial" w:cs="Arial" w:ascii="Arial" w:hAnsi="Arial"/>
          <w:b/>
          <w:sz w:val="22"/>
          <w:szCs w:val="22"/>
        </w:rPr>
        <w:t>temp_season</w:t>
      </w:r>
      <w:r>
        <w:rPr>
          <w:rFonts w:eastAsia="Arial" w:cs="Arial" w:ascii="Arial" w:hAnsi="Arial"/>
          <w:sz w:val="22"/>
          <w:szCs w:val="22"/>
        </w:rPr>
        <w:t xml:space="preserve"> – temperature seasonality, </w:t>
      </w:r>
      <w:r>
        <w:rPr>
          <w:rFonts w:eastAsia="Arial" w:cs="Arial" w:ascii="Arial" w:hAnsi="Arial"/>
          <w:b/>
          <w:bCs/>
          <w:sz w:val="22"/>
          <w:szCs w:val="22"/>
        </w:rPr>
        <w:t>m</w:t>
      </w:r>
      <w:r>
        <w:rPr>
          <w:rFonts w:eastAsia="Arial" w:cs="Arial" w:ascii="Arial" w:hAnsi="Arial"/>
          <w:b/>
          <w:sz w:val="22"/>
          <w:szCs w:val="22"/>
        </w:rPr>
        <w:t xml:space="preserve">ax_temp </w:t>
      </w:r>
      <w:r>
        <w:rPr>
          <w:rFonts w:eastAsia="Arial" w:cs="Arial" w:ascii="Arial" w:hAnsi="Arial"/>
          <w:sz w:val="22"/>
          <w:szCs w:val="22"/>
        </w:rPr>
        <w:t xml:space="preserve">– maximum temperature of the warmest month, </w:t>
      </w:r>
      <w:r>
        <w:rPr>
          <w:rFonts w:eastAsia="Arial" w:cs="Arial" w:ascii="Arial" w:hAnsi="Arial"/>
          <w:b/>
          <w:bCs/>
          <w:sz w:val="22"/>
          <w:szCs w:val="22"/>
        </w:rPr>
        <w:t>min_temp</w:t>
      </w:r>
      <w:r>
        <w:rPr>
          <w:rFonts w:eastAsia="Arial" w:cs="Arial" w:ascii="Arial" w:hAnsi="Arial"/>
          <w:sz w:val="22"/>
          <w:szCs w:val="22"/>
        </w:rPr>
        <w:t xml:space="preserve"> – minimum temperature of the coldest month,  </w:t>
      </w:r>
      <w:r>
        <w:rPr>
          <w:rFonts w:eastAsia="Arial" w:cs="Arial" w:ascii="Arial" w:hAnsi="Arial"/>
          <w:b/>
          <w:sz w:val="22"/>
          <w:szCs w:val="22"/>
        </w:rPr>
        <w:t>ann_range_temp</w:t>
      </w:r>
      <w:r>
        <w:rPr>
          <w:rFonts w:eastAsia="Arial" w:cs="Arial" w:ascii="Arial" w:hAnsi="Arial"/>
          <w:sz w:val="22"/>
          <w:szCs w:val="22"/>
        </w:rPr>
        <w:t xml:space="preserve"> – annual range of temperature, </w:t>
      </w:r>
      <w:r>
        <w:rPr>
          <w:rFonts w:eastAsia="Arial" w:cs="Arial" w:ascii="Arial" w:hAnsi="Arial"/>
          <w:b/>
          <w:bCs/>
          <w:sz w:val="22"/>
          <w:szCs w:val="22"/>
        </w:rPr>
        <w:t>mean_temp_wetQ</w:t>
      </w:r>
      <w:r>
        <w:rPr>
          <w:rFonts w:eastAsia="Arial" w:cs="Arial" w:ascii="Arial" w:hAnsi="Arial"/>
          <w:sz w:val="22"/>
          <w:szCs w:val="22"/>
        </w:rPr>
        <w:t xml:space="preserve"> – mean temperature of the wettest quarter, </w:t>
      </w:r>
      <w:r>
        <w:rPr>
          <w:rFonts w:eastAsia="Arial" w:cs="Arial" w:ascii="Arial" w:hAnsi="Arial"/>
          <w:b/>
          <w:sz w:val="22"/>
          <w:szCs w:val="22"/>
        </w:rPr>
        <w:t>mean_temp_dryQ</w:t>
      </w:r>
      <w:r>
        <w:rPr>
          <w:rFonts w:eastAsia="Arial" w:cs="Arial" w:ascii="Arial" w:hAnsi="Arial"/>
          <w:sz w:val="22"/>
          <w:szCs w:val="22"/>
        </w:rPr>
        <w:t xml:space="preserve"> – mean temperature of the driest quarter, </w:t>
      </w:r>
      <w:r>
        <w:rPr>
          <w:rFonts w:eastAsia="Arial" w:cs="Arial" w:ascii="Arial" w:hAnsi="Arial"/>
          <w:b/>
          <w:sz w:val="22"/>
          <w:szCs w:val="22"/>
        </w:rPr>
        <w:t>soil_stype</w:t>
      </w:r>
      <w:r>
        <w:rPr>
          <w:rFonts w:eastAsia="Arial" w:cs="Arial" w:ascii="Arial" w:hAnsi="Arial"/>
          <w:sz w:val="22"/>
          <w:szCs w:val="22"/>
        </w:rPr>
        <w:t xml:space="preserve"> – soil sub-type (includes 18 categories within the model extent including – 1. </w:t>
      </w:r>
      <w:r>
        <w:rPr>
          <w:rFonts w:eastAsia="Arial" w:cs="Arial" w:ascii="Arial" w:hAnsi="Arial"/>
          <w:color w:val="000000"/>
          <w:sz w:val="22"/>
          <w:szCs w:val="22"/>
        </w:rPr>
        <w:t xml:space="preserve">Calciorthids; 2. Haplagolls; 3. Haplaquents; 4. Haplustalfs, Palestalfs, Rhodustalf; 5. Natrargids, Salargids, Salorthids; 6. Ochraquats, Rhodustults, Haplustult; 7. Paleustalfs, Haplaquents; 8. Pelluderts, Pellusterts, Chromuster; 9. Pellusterts, Chromusters; 10. Plinhaqualts, Plinthustults, Plinth; 11. Quartzipsamments ; 12. Rhodustalfs, Pellusterts; 13. Tropoqualfs; 14. Troposaprists; 15. Udifluvents; 16. Ustipsamments; 17. Ustochrepts; 18. Water Body). </w:t>
      </w:r>
    </w:p>
    <w:p>
      <w:pPr>
        <w:pStyle w:val="TextBody"/>
        <w:jc w:val="both"/>
        <w:rPr/>
      </w:pPr>
      <w:r>
        <w:rPr>
          <w:rFonts w:ascii="Arial" w:hAnsi="Arial"/>
          <w:sz w:val="22"/>
          <w:szCs w:val="22"/>
        </w:rPr>
        <w:t>-</w:t>
      </w:r>
    </w:p>
    <w:tbl>
      <w:tblPr>
        <w:tblW w:w="13572" w:type="dxa"/>
        <w:jc w:val="left"/>
        <w:tblInd w:w="0" w:type="dxa"/>
        <w:tblCellMar>
          <w:top w:w="55" w:type="dxa"/>
          <w:left w:w="55" w:type="dxa"/>
          <w:bottom w:w="55" w:type="dxa"/>
          <w:right w:w="55" w:type="dxa"/>
        </w:tblCellMar>
        <w:tblLook w:val="04a0" w:noVBand="1" w:noHBand="0" w:lastColumn="0" w:firstColumn="1" w:lastRow="0" w:firstRow="1"/>
      </w:tblPr>
      <w:tblGrid>
        <w:gridCol w:w="1590"/>
        <w:gridCol w:w="2159"/>
        <w:gridCol w:w="452"/>
        <w:gridCol w:w="1177"/>
        <w:gridCol w:w="1553"/>
        <w:gridCol w:w="624"/>
        <w:gridCol w:w="624"/>
        <w:gridCol w:w="1349"/>
        <w:gridCol w:w="1349"/>
        <w:gridCol w:w="1350"/>
        <w:gridCol w:w="1343"/>
      </w:tblGrid>
      <w:tr>
        <w:trPr/>
        <w:tc>
          <w:tcPr>
            <w:tcW w:w="1590" w:type="dxa"/>
            <w:tcBorders>
              <w:top w:val="single" w:sz="4" w:space="0" w:color="000000"/>
              <w:left w:val="single" w:sz="4" w:space="0" w:color="000000"/>
              <w:bottom w:val="single" w:sz="4" w:space="0" w:color="000000"/>
            </w:tcBorders>
            <w:shd w:color="auto" w:fill="auto" w:val="clear"/>
          </w:tcPr>
          <w:p>
            <w:pPr>
              <w:pStyle w:val="TableHeading"/>
              <w:rPr>
                <w:rFonts w:ascii="Arial" w:hAnsi="Arial"/>
                <w:sz w:val="22"/>
                <w:szCs w:val="22"/>
              </w:rPr>
            </w:pPr>
            <w:r>
              <w:rPr>
                <w:rFonts w:ascii="Arial" w:hAnsi="Arial"/>
                <w:sz w:val="22"/>
                <w:szCs w:val="22"/>
              </w:rPr>
              <w:t xml:space="preserve">Genus </w:t>
            </w:r>
          </w:p>
        </w:tc>
        <w:tc>
          <w:tcPr>
            <w:tcW w:w="2159" w:type="dxa"/>
            <w:tcBorders>
              <w:top w:val="single" w:sz="4" w:space="0" w:color="000000"/>
              <w:left w:val="single" w:sz="4" w:space="0" w:color="000000"/>
              <w:bottom w:val="single" w:sz="4" w:space="0" w:color="000000"/>
            </w:tcBorders>
            <w:shd w:color="auto" w:fill="auto" w:val="clear"/>
          </w:tcPr>
          <w:p>
            <w:pPr>
              <w:pStyle w:val="TableHeading"/>
              <w:rPr>
                <w:rFonts w:ascii="Arial" w:hAnsi="Arial"/>
                <w:sz w:val="22"/>
                <w:szCs w:val="22"/>
              </w:rPr>
            </w:pPr>
            <w:r>
              <w:rPr>
                <w:rFonts w:ascii="Arial" w:hAnsi="Arial"/>
                <w:sz w:val="22"/>
                <w:szCs w:val="22"/>
              </w:rPr>
              <w:t>Species</w:t>
            </w:r>
          </w:p>
        </w:tc>
        <w:tc>
          <w:tcPr>
            <w:tcW w:w="452" w:type="dxa"/>
            <w:tcBorders>
              <w:top w:val="single" w:sz="4" w:space="0" w:color="000000"/>
              <w:left w:val="single" w:sz="4" w:space="0" w:color="000000"/>
              <w:bottom w:val="single" w:sz="4" w:space="0" w:color="000000"/>
            </w:tcBorders>
            <w:shd w:color="auto" w:fill="auto" w:val="clear"/>
          </w:tcPr>
          <w:p>
            <w:pPr>
              <w:pStyle w:val="TableHeading"/>
              <w:rPr>
                <w:rFonts w:ascii="Arial" w:hAnsi="Arial"/>
                <w:sz w:val="22"/>
                <w:szCs w:val="22"/>
              </w:rPr>
            </w:pPr>
            <w:r>
              <w:rPr>
                <w:rFonts w:ascii="Arial" w:hAnsi="Arial"/>
                <w:sz w:val="22"/>
                <w:szCs w:val="22"/>
              </w:rPr>
              <w:t>n</w:t>
            </w:r>
          </w:p>
        </w:tc>
        <w:tc>
          <w:tcPr>
            <w:tcW w:w="1177" w:type="dxa"/>
            <w:tcBorders>
              <w:top w:val="single" w:sz="4" w:space="0" w:color="000000"/>
              <w:left w:val="single" w:sz="4" w:space="0" w:color="000000"/>
              <w:bottom w:val="single" w:sz="4" w:space="0" w:color="000000"/>
            </w:tcBorders>
            <w:shd w:color="auto" w:fill="auto" w:val="clear"/>
          </w:tcPr>
          <w:p>
            <w:pPr>
              <w:pStyle w:val="TableHeading"/>
              <w:rPr>
                <w:rFonts w:ascii="Arial" w:hAnsi="Arial"/>
                <w:sz w:val="22"/>
                <w:szCs w:val="22"/>
              </w:rPr>
            </w:pPr>
            <w:r>
              <w:rPr>
                <w:rFonts w:ascii="Arial" w:hAnsi="Arial"/>
                <w:sz w:val="22"/>
                <w:szCs w:val="22"/>
              </w:rPr>
              <w:t>Predictor dataset</w:t>
            </w:r>
          </w:p>
        </w:tc>
        <w:tc>
          <w:tcPr>
            <w:tcW w:w="1553" w:type="dxa"/>
            <w:tcBorders>
              <w:top w:val="single" w:sz="4" w:space="0" w:color="000000"/>
              <w:left w:val="single" w:sz="4" w:space="0" w:color="000000"/>
              <w:bottom w:val="single" w:sz="4" w:space="0" w:color="000000"/>
            </w:tcBorders>
            <w:shd w:color="auto" w:fill="auto" w:val="clear"/>
          </w:tcPr>
          <w:p>
            <w:pPr>
              <w:pStyle w:val="TableHeading"/>
              <w:rPr>
                <w:rFonts w:ascii="Arial" w:hAnsi="Arial"/>
                <w:sz w:val="22"/>
                <w:szCs w:val="22"/>
              </w:rPr>
            </w:pPr>
            <w:r>
              <w:rPr>
                <w:rFonts w:ascii="Arial" w:hAnsi="Arial"/>
                <w:sz w:val="22"/>
                <w:szCs w:val="22"/>
              </w:rPr>
              <w:t>Model selection method</w:t>
            </w:r>
          </w:p>
        </w:tc>
        <w:tc>
          <w:tcPr>
            <w:tcW w:w="624" w:type="dxa"/>
            <w:tcBorders>
              <w:top w:val="single" w:sz="4" w:space="0" w:color="000000"/>
              <w:left w:val="single" w:sz="4" w:space="0" w:color="000000"/>
              <w:bottom w:val="single" w:sz="4" w:space="0" w:color="000000"/>
            </w:tcBorders>
            <w:shd w:color="auto" w:fill="auto" w:val="clear"/>
          </w:tcPr>
          <w:p>
            <w:pPr>
              <w:pStyle w:val="TableHeading"/>
              <w:rPr>
                <w:rFonts w:ascii="Arial" w:hAnsi="Arial"/>
                <w:sz w:val="22"/>
                <w:szCs w:val="22"/>
              </w:rPr>
            </w:pPr>
            <w:r>
              <w:rPr>
                <w:rFonts w:ascii="Arial" w:hAnsi="Arial"/>
                <w:sz w:val="22"/>
                <w:szCs w:val="22"/>
              </w:rPr>
              <w:t>FC</w:t>
            </w:r>
          </w:p>
        </w:tc>
        <w:tc>
          <w:tcPr>
            <w:tcW w:w="624" w:type="dxa"/>
            <w:tcBorders>
              <w:top w:val="single" w:sz="4" w:space="0" w:color="000000"/>
              <w:left w:val="single" w:sz="4" w:space="0" w:color="000000"/>
              <w:bottom w:val="single" w:sz="4" w:space="0" w:color="000000"/>
            </w:tcBorders>
            <w:shd w:color="auto" w:fill="auto" w:val="clear"/>
          </w:tcPr>
          <w:p>
            <w:pPr>
              <w:pStyle w:val="TableHeading"/>
              <w:rPr>
                <w:rFonts w:ascii="Arial" w:hAnsi="Arial"/>
                <w:sz w:val="22"/>
                <w:szCs w:val="22"/>
              </w:rPr>
            </w:pPr>
            <w:r>
              <w:rPr>
                <w:rFonts w:ascii="Arial" w:hAnsi="Arial"/>
                <w:sz w:val="22"/>
                <w:szCs w:val="22"/>
              </w:rPr>
              <w:t>RM</w:t>
            </w:r>
          </w:p>
        </w:tc>
        <w:tc>
          <w:tcPr>
            <w:tcW w:w="1349" w:type="dxa"/>
            <w:tcBorders>
              <w:top w:val="single" w:sz="4" w:space="0" w:color="000000"/>
              <w:left w:val="single" w:sz="4" w:space="0" w:color="000000"/>
              <w:bottom w:val="single" w:sz="4" w:space="0" w:color="000000"/>
            </w:tcBorders>
            <w:shd w:color="auto" w:fill="auto" w:val="clear"/>
          </w:tcPr>
          <w:p>
            <w:pPr>
              <w:pStyle w:val="TableHeading"/>
              <w:rPr/>
            </w:pPr>
            <w:r>
              <w:rPr>
                <w:rFonts w:ascii="Arial" w:hAnsi="Arial"/>
                <w:sz w:val="22"/>
                <w:szCs w:val="22"/>
              </w:rPr>
              <w:t>OR</w:t>
            </w:r>
            <w:r>
              <w:rPr>
                <w:rFonts w:ascii="Arial" w:hAnsi="Arial"/>
                <w:sz w:val="22"/>
                <w:szCs w:val="22"/>
                <w:vertAlign w:val="subscript"/>
              </w:rPr>
              <w:t>MTP</w:t>
            </w:r>
          </w:p>
        </w:tc>
        <w:tc>
          <w:tcPr>
            <w:tcW w:w="1349" w:type="dxa"/>
            <w:tcBorders>
              <w:top w:val="single" w:sz="4" w:space="0" w:color="000000"/>
              <w:left w:val="single" w:sz="4" w:space="0" w:color="000000"/>
              <w:bottom w:val="single" w:sz="4" w:space="0" w:color="000000"/>
            </w:tcBorders>
            <w:shd w:color="auto" w:fill="auto" w:val="clear"/>
          </w:tcPr>
          <w:p>
            <w:pPr>
              <w:pStyle w:val="TableHeading"/>
              <w:rPr/>
            </w:pPr>
            <w:r>
              <w:rPr>
                <w:rFonts w:ascii="Arial" w:hAnsi="Arial"/>
                <w:sz w:val="22"/>
                <w:szCs w:val="22"/>
              </w:rPr>
              <w:t>AUC</w:t>
            </w:r>
            <w:r>
              <w:rPr>
                <w:rFonts w:ascii="Arial" w:hAnsi="Arial"/>
                <w:sz w:val="22"/>
                <w:szCs w:val="22"/>
                <w:vertAlign w:val="subscript"/>
              </w:rPr>
              <w:t>DIFF</w:t>
            </w:r>
          </w:p>
        </w:tc>
        <w:tc>
          <w:tcPr>
            <w:tcW w:w="1350" w:type="dxa"/>
            <w:tcBorders>
              <w:top w:val="single" w:sz="4" w:space="0" w:color="000000"/>
              <w:left w:val="single" w:sz="4" w:space="0" w:color="000000"/>
              <w:bottom w:val="single" w:sz="4" w:space="0" w:color="000000"/>
            </w:tcBorders>
            <w:shd w:color="auto" w:fill="auto" w:val="clear"/>
          </w:tcPr>
          <w:p>
            <w:pPr>
              <w:pStyle w:val="TableHeading"/>
              <w:rPr/>
            </w:pPr>
            <w:r>
              <w:rPr>
                <w:rFonts w:ascii="Arial" w:hAnsi="Arial"/>
                <w:sz w:val="22"/>
                <w:szCs w:val="22"/>
              </w:rPr>
              <w:t>AUC</w:t>
            </w:r>
            <w:r>
              <w:rPr>
                <w:rFonts w:ascii="Arial" w:hAnsi="Arial"/>
                <w:sz w:val="22"/>
                <w:szCs w:val="22"/>
                <w:vertAlign w:val="subscript"/>
              </w:rPr>
              <w:t>TEST</w:t>
            </w:r>
          </w:p>
        </w:tc>
        <w:tc>
          <w:tcPr>
            <w:tcW w:w="1343" w:type="dxa"/>
            <w:tcBorders>
              <w:top w:val="single" w:sz="4" w:space="0" w:color="000000"/>
              <w:left w:val="single" w:sz="4" w:space="0" w:color="000000"/>
              <w:bottom w:val="single" w:sz="4" w:space="0" w:color="000000"/>
              <w:right w:val="single" w:sz="4" w:space="0" w:color="000000"/>
            </w:tcBorders>
            <w:shd w:color="auto" w:fill="auto" w:val="clear"/>
          </w:tcPr>
          <w:p>
            <w:pPr>
              <w:pStyle w:val="TableHeading"/>
              <w:rPr>
                <w:rFonts w:ascii="Arial" w:hAnsi="Arial"/>
                <w:sz w:val="22"/>
                <w:szCs w:val="22"/>
              </w:rPr>
            </w:pPr>
            <w:r>
              <w:rPr>
                <w:rFonts w:ascii="Arial" w:hAnsi="Arial"/>
                <w:sz w:val="22"/>
                <w:szCs w:val="22"/>
              </w:rPr>
              <w:t>delta AICc</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 xml:space="preserve">Digitipes </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barnabasi</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23</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0.6700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15.1300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0.0833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0.0404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0.7458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0.0417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0.0117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0.6118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25.7494</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0.1268</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0.7313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0.0417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0.0117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0.6118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22.9150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0.1531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0.6960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 xml:space="preserve">Digitipes </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coonoorensis</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14</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0.0714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0.0415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44.7731</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0.1429</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0.0337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0.0714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0.0381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0.8298</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0.0714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0.0440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0.9300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0.0714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0.0315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0.9452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2.8629</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0.0714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0.0369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0.9406</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 xml:space="preserve">Digitipes </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jangii</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9</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0.1111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0.0544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0.8788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42.2759</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0.1111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0.0876</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0.8710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0.1111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0.0527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0.8379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26.6885</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0.1111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0.0884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0.8638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0.1111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0.0602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0.9004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41.3523</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0.1111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0.0709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0.8855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 xml:space="preserve">Digitipes </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jonesii</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27</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0.0417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0.0445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0.9147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0.2262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0.0713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0.8953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0.1429</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0.0429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0.9054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57.4808</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0.2262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0.1491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0.8220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0.0833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0.0617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0.8967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147.0043</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0.2262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0.1149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0.8527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 xml:space="preserve">Digitipes </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nudus</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6</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0.0542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0.9148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10.6307</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0.1500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0.8195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0.0339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0.9335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2.3812</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0.0364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0.9320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0.0362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0.9325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0.0362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0.9325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Ethmostigmus</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agasthyamalaiensis</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6</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0.0302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0.9475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12.8549</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0.0534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0.9153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0.0287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0.9508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12.3783</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0.0770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0.9036</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0.0302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0.9483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14.0045</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0.0481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0.9364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Ethmostigmus</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coonooranus</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6</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0.0270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0.7856</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3.1736</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0.0432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0.8499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0.0562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0.7462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5.7201</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0.1123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0.7235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0.0484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0.8063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18.7029</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0.0635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0.8974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Ethmostigmus</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praveeni</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0.0069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0.9874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0.0118</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0.9644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0.0160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0.9760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0.0344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0.9134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0.0199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0.9726</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0.0318</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0.9578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Ethmostigmus</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sahyadrensis</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0.0058</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0.0053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0.9909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0.0087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0.9861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0.0041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0.9930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0.0093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0.9803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Ethmostigmus</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tristis</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7</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0.1429</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0.0032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0.9750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35.7237</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0.1429</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0.0069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0.9617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0.7061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15.0815</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0.1429</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0.0070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0.9572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0.1429</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0.0040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0.9933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0.1429</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0.0065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0.9872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aspinosa</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0.0041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0.9802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15.9678</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0.0597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0.9269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0.0095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0.9779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0.0346</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0.9509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0.0041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0.9802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18.3761</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0.0101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0.9751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crassispina</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0.9705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0.9705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0.9998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0.9705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40.5516</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0.9997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konda</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4</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0.0280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0.9436</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0.5000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0.1852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0.7910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0.0315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0.4911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0.1477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0.6317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1.8101</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0.5000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lewisi</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8</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0.1250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0.0089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0.9638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13.3619</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0.1250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0.0218</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0.9577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0.1250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0.0183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0.9637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0.1250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0.0183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0.9637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0.1250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0.0089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0.9638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34.0498</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0.2500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0.0194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0.9642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longipes</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9</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0.2222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0.1283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0.4064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0.1111</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0.0652</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0.4064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0.3333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0.2284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0.6002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0.5000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pazhuthara</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0.0023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0.9942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0.4000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0.0040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0.9919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0.0020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0.9932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18.83</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0.0026</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0.9925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0.0020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0.9952</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25.0622</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0.0024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0.9941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sada</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6</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LQH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0.0030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0.9919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0.0121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0.9235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LQ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0.0131</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0.9705</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NA</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0.0144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0.9170</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Q</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0.0119</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0.8331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24.4715</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0.1667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0.0303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0.9094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sp. 1</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3</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0.7061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0.4720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0.3083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0.7061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2.7802</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0.7061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0.7061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2.7802</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0.6667</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0.2800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0.5417</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Rhysida</w:t>
            </w:r>
          </w:p>
        </w:tc>
        <w:tc>
          <w:tcPr>
            <w:tcW w:w="2159" w:type="dxa"/>
            <w:tcBorders>
              <w:left w:val="single" w:sz="4" w:space="0" w:color="000000"/>
              <w:bottom w:val="single" w:sz="4" w:space="0" w:color="000000"/>
            </w:tcBorders>
            <w:shd w:color="auto" w:fill="auto" w:val="clear"/>
          </w:tcPr>
          <w:p>
            <w:pPr>
              <w:pStyle w:val="TableContents"/>
              <w:jc w:val="center"/>
              <w:rPr>
                <w:rFonts w:ascii="Arial" w:hAnsi="Arial"/>
                <w:i/>
                <w:i/>
                <w:sz w:val="22"/>
                <w:szCs w:val="22"/>
              </w:rPr>
            </w:pPr>
            <w:r>
              <w:rPr>
                <w:rFonts w:ascii="Arial" w:hAnsi="Arial"/>
                <w:i/>
                <w:sz w:val="22"/>
                <w:szCs w:val="22"/>
              </w:rPr>
              <w:t>trispinosa</w:t>
            </w:r>
          </w:p>
        </w:tc>
        <w:tc>
          <w:tcPr>
            <w:tcW w:w="452"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16</w:t>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all</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0.1153</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0.6948</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0.4947</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0.1155</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0.6934</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ecology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3</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0.0625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0.1087</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0.6473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41.7734</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0.0625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0.0534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0.4703</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primary</w:t>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Transferability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H</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4.5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0.0000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0.1034</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0.7059</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1.2883</w:t>
            </w:r>
          </w:p>
        </w:tc>
      </w:tr>
      <w:tr>
        <w:trPr/>
        <w:tc>
          <w:tcPr>
            <w:tcW w:w="1590"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2159" w:type="dxa"/>
            <w:tcBorders>
              <w:left w:val="single" w:sz="4" w:space="0" w:color="000000"/>
              <w:bottom w:val="single" w:sz="4" w:space="0" w:color="000000"/>
            </w:tcBorders>
            <w:shd w:color="auto" w:fill="auto" w:val="clear"/>
          </w:tcPr>
          <w:p>
            <w:pPr>
              <w:pStyle w:val="TableContents"/>
              <w:rPr>
                <w:rFonts w:ascii="Arial" w:hAnsi="Arial"/>
                <w:i/>
                <w:i/>
                <w:sz w:val="22"/>
                <w:szCs w:val="22"/>
              </w:rPr>
            </w:pPr>
            <w:r>
              <w:rPr>
                <w:rFonts w:ascii="Arial" w:hAnsi="Arial"/>
                <w:i/>
                <w:sz w:val="22"/>
                <w:szCs w:val="22"/>
              </w:rPr>
            </w:r>
          </w:p>
        </w:tc>
        <w:tc>
          <w:tcPr>
            <w:tcW w:w="452"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177" w:type="dxa"/>
            <w:tcBorders>
              <w:left w:val="single" w:sz="4" w:space="0" w:color="000000"/>
              <w:bottom w:val="single" w:sz="4" w:space="0" w:color="000000"/>
            </w:tcBorders>
            <w:shd w:color="auto" w:fill="auto" w:val="clear"/>
          </w:tcPr>
          <w:p>
            <w:pPr>
              <w:pStyle w:val="TableContents"/>
              <w:rPr>
                <w:rFonts w:ascii="Arial" w:hAnsi="Arial"/>
                <w:sz w:val="22"/>
                <w:szCs w:val="22"/>
              </w:rPr>
            </w:pPr>
            <w:r>
              <w:rPr>
                <w:rFonts w:ascii="Arial" w:hAnsi="Arial"/>
                <w:sz w:val="22"/>
                <w:szCs w:val="22"/>
              </w:rPr>
            </w:r>
          </w:p>
        </w:tc>
        <w:tc>
          <w:tcPr>
            <w:tcW w:w="1553"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Parsimony</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L</w:t>
            </w:r>
          </w:p>
        </w:tc>
        <w:tc>
          <w:tcPr>
            <w:tcW w:w="624"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5</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0.1250</w:t>
            </w:r>
          </w:p>
        </w:tc>
        <w:tc>
          <w:tcPr>
            <w:tcW w:w="1349" w:type="dxa"/>
            <w:tcBorders>
              <w:left w:val="single" w:sz="4" w:space="0" w:color="000000"/>
              <w:bottom w:val="single" w:sz="4" w:space="0" w:color="000000"/>
            </w:tcBorders>
            <w:shd w:color="auto" w:fill="auto" w:val="clear"/>
          </w:tcPr>
          <w:p>
            <w:pPr>
              <w:pStyle w:val="TableContents"/>
              <w:jc w:val="center"/>
              <w:rPr>
                <w:rFonts w:ascii="Arial" w:hAnsi="Arial"/>
                <w:sz w:val="22"/>
                <w:szCs w:val="22"/>
              </w:rPr>
            </w:pPr>
            <w:r>
              <w:rPr>
                <w:rFonts w:ascii="Arial" w:hAnsi="Arial"/>
                <w:sz w:val="22"/>
                <w:szCs w:val="22"/>
              </w:rPr>
              <w:t>0.0920</w:t>
            </w:r>
          </w:p>
        </w:tc>
        <w:tc>
          <w:tcPr>
            <w:tcW w:w="1350" w:type="dxa"/>
            <w:tcBorders>
              <w:left w:val="single" w:sz="4" w:space="0" w:color="000000"/>
              <w:bottom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0.4501</w:t>
            </w:r>
          </w:p>
        </w:tc>
        <w:tc>
          <w:tcPr>
            <w:tcW w:w="1343" w:type="dxa"/>
            <w:tcBorders>
              <w:left w:val="single" w:sz="4" w:space="0" w:color="000000"/>
              <w:bottom w:val="single" w:sz="4" w:space="0" w:color="000000"/>
              <w:right w:val="single" w:sz="4" w:space="0" w:color="000000"/>
            </w:tcBorders>
            <w:shd w:color="auto" w:fill="auto" w:val="clear"/>
          </w:tcPr>
          <w:p>
            <w:pPr>
              <w:pStyle w:val="TableContents"/>
              <w:jc w:val="center"/>
              <w:rPr>
                <w:rFonts w:ascii="Arial" w:hAnsi="Arial"/>
                <w:color w:val="000000"/>
                <w:sz w:val="22"/>
                <w:szCs w:val="22"/>
              </w:rPr>
            </w:pPr>
            <w:r>
              <w:rPr>
                <w:rFonts w:ascii="Arial" w:hAnsi="Arial"/>
                <w:color w:val="000000"/>
                <w:sz w:val="22"/>
                <w:szCs w:val="22"/>
              </w:rPr>
              <w:t>0.0000</w:t>
            </w:r>
          </w:p>
        </w:tc>
      </w:tr>
    </w:tbl>
    <w:p>
      <w:pPr>
        <w:sectPr>
          <w:footerReference w:type="default" r:id="rId3"/>
          <w:type w:val="nextPage"/>
          <w:pgSz w:orient="landscape" w:w="15840" w:h="12240"/>
          <w:pgMar w:left="1134" w:right="1134" w:header="0" w:top="1134" w:footer="0" w:bottom="1134" w:gutter="0"/>
          <w:pgNumType w:fmt="decimal"/>
          <w:formProt w:val="false"/>
          <w:textDirection w:val="lrTb"/>
          <w:docGrid w:type="default" w:linePitch="600" w:charSpace="32768"/>
        </w:sectPr>
      </w:pPr>
    </w:p>
    <w:p>
      <w:pPr>
        <w:pStyle w:val="LOnormal"/>
        <w:ind w:left="720" w:hanging="720"/>
        <w:jc w:val="both"/>
        <w:rPr/>
      </w:pPr>
      <w:r>
        <w:rPr/>
        <w:drawing>
          <wp:inline distT="0" distB="0" distL="0" distR="0">
            <wp:extent cx="6332220" cy="3957320"/>
            <wp:effectExtent l="0" t="0" r="0" b="0"/>
            <wp:docPr id="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descr=""/>
                    <pic:cNvPicPr>
                      <a:picLocks noChangeAspect="1" noChangeArrowheads="1"/>
                    </pic:cNvPicPr>
                  </pic:nvPicPr>
                  <pic:blipFill>
                    <a:blip r:embed="rId4"/>
                    <a:stretch>
                      <a:fillRect/>
                    </a:stretch>
                  </pic:blipFill>
                  <pic:spPr bwMode="auto">
                    <a:xfrm>
                      <a:off x="0" y="0"/>
                      <a:ext cx="6332220" cy="3957320"/>
                    </a:xfrm>
                    <a:prstGeom prst="rect">
                      <a:avLst/>
                    </a:prstGeom>
                  </pic:spPr>
                </pic:pic>
              </a:graphicData>
            </a:graphic>
          </wp:inline>
        </w:drawing>
      </w:r>
    </w:p>
    <w:p>
      <w:pPr>
        <w:pStyle w:val="LOnormal"/>
        <w:jc w:val="both"/>
        <w:rPr>
          <w:rFonts w:ascii="Arial" w:hAnsi="Arial" w:eastAsia="Arial" w:cs="Arial"/>
          <w:b/>
          <w:b/>
          <w:sz w:val="22"/>
          <w:szCs w:val="22"/>
        </w:rPr>
      </w:pPr>
      <w:r>
        <w:rPr>
          <w:rFonts w:eastAsia="Arial" w:cs="Arial" w:ascii="Arial" w:hAnsi="Arial"/>
          <w:b/>
          <w:sz w:val="22"/>
          <w:szCs w:val="22"/>
        </w:rPr>
      </w:r>
    </w:p>
    <w:p>
      <w:pPr>
        <w:pStyle w:val="LOnormal"/>
        <w:jc w:val="both"/>
        <w:rPr/>
      </w:pPr>
      <w:r>
        <w:rPr>
          <w:rFonts w:eastAsia="Arial" w:cs="Arial" w:ascii="Arial" w:hAnsi="Arial"/>
          <w:b/>
          <w:sz w:val="22"/>
          <w:szCs w:val="22"/>
        </w:rPr>
        <w:t xml:space="preserve">Figure S2.1. </w:t>
      </w:r>
      <w:r>
        <w:rPr>
          <w:rFonts w:eastAsia="Arial" w:cs="Arial" w:ascii="Arial" w:hAnsi="Arial"/>
          <w:sz w:val="22"/>
          <w:szCs w:val="22"/>
        </w:rPr>
        <w:t>Prediction map of the sampling bias model which was used to weigh selection of background locations for the Maxent species distribution models.</w:t>
      </w:r>
      <w:r>
        <w:br w:type="page"/>
      </w:r>
    </w:p>
    <w:p>
      <w:pPr>
        <w:pStyle w:val="LOnormal"/>
        <w:jc w:val="both"/>
        <w:rPr>
          <w:rFonts w:ascii="Arial" w:hAnsi="Arial" w:eastAsia="Arial" w:cs="Arial"/>
          <w:b/>
          <w:b/>
          <w:sz w:val="22"/>
          <w:szCs w:val="22"/>
        </w:rPr>
      </w:pPr>
      <w:r>
        <w:rPr/>
        <w:drawing>
          <wp:inline distT="0" distB="0" distL="0" distR="0">
            <wp:extent cx="6332220" cy="4605020"/>
            <wp:effectExtent l="0" t="0" r="0" b="0"/>
            <wp:docPr id="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 descr=""/>
                    <pic:cNvPicPr>
                      <a:picLocks noChangeAspect="1" noChangeArrowheads="1"/>
                    </pic:cNvPicPr>
                  </pic:nvPicPr>
                  <pic:blipFill>
                    <a:blip r:embed="rId5"/>
                    <a:stretch>
                      <a:fillRect/>
                    </a:stretch>
                  </pic:blipFill>
                  <pic:spPr bwMode="auto">
                    <a:xfrm>
                      <a:off x="0" y="0"/>
                      <a:ext cx="6332220" cy="4605020"/>
                    </a:xfrm>
                    <a:prstGeom prst="rect">
                      <a:avLst/>
                    </a:prstGeom>
                  </pic:spPr>
                </pic:pic>
              </a:graphicData>
            </a:graphic>
          </wp:inline>
        </w:drawing>
      </w:r>
    </w:p>
    <w:p>
      <w:pPr>
        <w:pStyle w:val="LOnormal"/>
        <w:jc w:val="both"/>
        <w:rPr>
          <w:rFonts w:ascii="Arial" w:hAnsi="Arial" w:eastAsia="Arial" w:cs="Arial"/>
          <w:b/>
          <w:b/>
          <w:sz w:val="22"/>
          <w:szCs w:val="22"/>
        </w:rPr>
      </w:pPr>
      <w:r>
        <w:rPr>
          <w:rFonts w:eastAsia="Arial" w:cs="Arial" w:ascii="Arial" w:hAnsi="Arial"/>
          <w:b/>
          <w:sz w:val="22"/>
          <w:szCs w:val="22"/>
        </w:rPr>
      </w:r>
    </w:p>
    <w:p>
      <w:pPr>
        <w:pStyle w:val="LOnormal"/>
        <w:jc w:val="both"/>
        <w:rPr/>
      </w:pPr>
      <w:r>
        <w:rPr>
          <w:rFonts w:eastAsia="Arial" w:cs="Arial" w:ascii="Arial" w:hAnsi="Arial"/>
          <w:b/>
          <w:sz w:val="22"/>
          <w:szCs w:val="22"/>
        </w:rPr>
        <w:t xml:space="preserve">Figure S2.2. </w:t>
      </w:r>
      <w:r>
        <w:rPr>
          <w:rFonts w:eastAsia="Arial" w:cs="Arial" w:ascii="Arial" w:hAnsi="Arial"/>
          <w:sz w:val="22"/>
          <w:szCs w:val="22"/>
        </w:rPr>
        <w:t>Permutation importance of variables used to run Maxent species distribution models for each species. Variables with the highest two values of permutation importance are indicated using the position of the filled circle on the x-axis, while the size of the circle corresponds to the magnitude of percentage permutation importance.</w:t>
      </w:r>
    </w:p>
    <w:p>
      <w:pPr>
        <w:pStyle w:val="LOnormal"/>
        <w:jc w:val="both"/>
        <w:rPr>
          <w:rFonts w:ascii="Arial" w:hAnsi="Arial" w:eastAsia="Arial" w:cs="Arial"/>
          <w:sz w:val="22"/>
          <w:szCs w:val="22"/>
        </w:rPr>
      </w:pPr>
      <w:r>
        <w:rPr>
          <w:rFonts w:eastAsia="Arial" w:cs="Arial" w:ascii="Arial" w:hAnsi="Arial"/>
          <w:sz w:val="22"/>
          <w:szCs w:val="22"/>
        </w:rPr>
      </w:r>
    </w:p>
    <w:p>
      <w:pPr>
        <w:pStyle w:val="LOnormal"/>
        <w:jc w:val="both"/>
        <w:rPr>
          <w:rFonts w:ascii="Arial" w:hAnsi="Arial" w:eastAsia="Arial" w:cs="Arial"/>
          <w:b/>
          <w:b/>
          <w:sz w:val="22"/>
          <w:szCs w:val="22"/>
        </w:rPr>
      </w:pPr>
      <w:r>
        <w:rPr>
          <w:rFonts w:eastAsia="Arial" w:cs="Arial" w:ascii="Arial" w:hAnsi="Arial"/>
          <w:b/>
          <w:sz w:val="22"/>
          <w:szCs w:val="22"/>
        </w:rPr>
        <w:t>Variable codes:</w:t>
      </w:r>
    </w:p>
    <w:p>
      <w:pPr>
        <w:pStyle w:val="LOnormal"/>
        <w:jc w:val="both"/>
        <w:rPr>
          <w:rFonts w:ascii="Arial" w:hAnsi="Arial" w:eastAsia="Arial" w:cs="Arial"/>
          <w:sz w:val="22"/>
          <w:szCs w:val="22"/>
        </w:rPr>
      </w:pPr>
      <w:r>
        <w:rPr>
          <w:rFonts w:eastAsia="Arial" w:cs="Arial" w:ascii="Arial" w:hAnsi="Arial"/>
          <w:b/>
          <w:bCs/>
          <w:sz w:val="22"/>
          <w:szCs w:val="22"/>
        </w:rPr>
        <w:t>prec_dry_month</w:t>
      </w:r>
      <w:r>
        <w:rPr>
          <w:rFonts w:eastAsia="Arial" w:cs="Arial" w:ascii="Arial" w:hAnsi="Arial"/>
          <w:sz w:val="22"/>
          <w:szCs w:val="22"/>
        </w:rPr>
        <w:t xml:space="preserve"> – precipitation of the driest month, </w:t>
      </w:r>
      <w:r>
        <w:rPr>
          <w:rFonts w:eastAsia="Arial" w:cs="Arial" w:ascii="Arial" w:hAnsi="Arial"/>
          <w:b/>
          <w:bCs/>
          <w:sz w:val="22"/>
          <w:szCs w:val="22"/>
        </w:rPr>
        <w:t>prec_wet_month</w:t>
      </w:r>
      <w:r>
        <w:rPr>
          <w:rFonts w:eastAsia="Arial" w:cs="Arial" w:ascii="Arial" w:hAnsi="Arial"/>
          <w:sz w:val="22"/>
          <w:szCs w:val="22"/>
        </w:rPr>
        <w:t xml:space="preserve"> – precipitation of the wettest month, </w:t>
      </w:r>
      <w:r>
        <w:rPr>
          <w:rFonts w:eastAsia="Arial" w:cs="Arial" w:ascii="Arial" w:hAnsi="Arial"/>
          <w:b/>
          <w:bCs/>
          <w:sz w:val="22"/>
          <w:szCs w:val="22"/>
        </w:rPr>
        <w:t>max_temp</w:t>
      </w:r>
      <w:r>
        <w:rPr>
          <w:rFonts w:eastAsia="Arial" w:cs="Arial" w:ascii="Arial" w:hAnsi="Arial"/>
          <w:sz w:val="22"/>
          <w:szCs w:val="22"/>
        </w:rPr>
        <w:t xml:space="preserve"> – maximum temperature of the warmest month, </w:t>
      </w:r>
      <w:r>
        <w:rPr>
          <w:rFonts w:eastAsia="Arial" w:cs="Arial" w:ascii="Arial" w:hAnsi="Arial"/>
          <w:b/>
          <w:bCs/>
          <w:sz w:val="22"/>
          <w:szCs w:val="22"/>
        </w:rPr>
        <w:t>soil_stype</w:t>
      </w:r>
      <w:r>
        <w:rPr>
          <w:rFonts w:eastAsia="Arial" w:cs="Arial" w:ascii="Arial" w:hAnsi="Arial"/>
          <w:sz w:val="22"/>
          <w:szCs w:val="22"/>
        </w:rPr>
        <w:t xml:space="preserve"> – soil subtype, </w:t>
      </w:r>
      <w:r>
        <w:rPr>
          <w:rFonts w:eastAsia="Arial" w:cs="Arial" w:ascii="Arial" w:hAnsi="Arial"/>
          <w:b/>
          <w:bCs/>
          <w:sz w:val="22"/>
          <w:szCs w:val="22"/>
        </w:rPr>
        <w:t>ann_prec</w:t>
      </w:r>
      <w:r>
        <w:rPr>
          <w:rFonts w:eastAsia="Arial" w:cs="Arial" w:ascii="Arial" w:hAnsi="Arial"/>
          <w:sz w:val="22"/>
          <w:szCs w:val="22"/>
        </w:rPr>
        <w:t xml:space="preserve"> – annual precipitation, </w:t>
      </w:r>
      <w:r>
        <w:rPr>
          <w:rFonts w:eastAsia="Arial" w:cs="Arial" w:ascii="Arial" w:hAnsi="Arial"/>
          <w:b/>
          <w:bCs/>
          <w:sz w:val="22"/>
          <w:szCs w:val="22"/>
        </w:rPr>
        <w:t>min_temp</w:t>
      </w:r>
      <w:r>
        <w:rPr>
          <w:rFonts w:eastAsia="Arial" w:cs="Arial" w:ascii="Arial" w:hAnsi="Arial"/>
          <w:sz w:val="22"/>
          <w:szCs w:val="22"/>
        </w:rPr>
        <w:t xml:space="preserve"> – minimum temperature of the coldest month</w:t>
      </w:r>
      <w:r>
        <w:br w:type="page"/>
      </w:r>
    </w:p>
    <w:p>
      <w:pPr>
        <w:pStyle w:val="LOnormal"/>
        <w:jc w:val="both"/>
        <w:rPr/>
      </w:pPr>
      <w:r>
        <w:rPr/>
        <w:drawing>
          <wp:inline distT="0" distB="0" distL="0" distR="0">
            <wp:extent cx="6332220" cy="2644775"/>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6"/>
                    <a:stretch>
                      <a:fillRect/>
                    </a:stretch>
                  </pic:blipFill>
                  <pic:spPr bwMode="auto">
                    <a:xfrm>
                      <a:off x="0" y="0"/>
                      <a:ext cx="6332220" cy="2644775"/>
                    </a:xfrm>
                    <a:prstGeom prst="rect">
                      <a:avLst/>
                    </a:prstGeom>
                  </pic:spPr>
                </pic:pic>
              </a:graphicData>
            </a:graphic>
          </wp:inline>
        </w:drawing>
      </w:r>
    </w:p>
    <w:p>
      <w:pPr>
        <w:pStyle w:val="LOnormal"/>
        <w:jc w:val="both"/>
        <w:rPr>
          <w:rFonts w:ascii="Arial" w:hAnsi="Arial" w:eastAsia="Arial" w:cs="Arial"/>
          <w:b/>
          <w:b/>
          <w:sz w:val="22"/>
          <w:szCs w:val="22"/>
        </w:rPr>
      </w:pPr>
      <w:r>
        <w:rPr/>
        <w:drawing>
          <wp:inline distT="0" distB="0" distL="0" distR="0">
            <wp:extent cx="6332220" cy="267271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6332220" cy="2672715"/>
                    </a:xfrm>
                    <a:prstGeom prst="rect">
                      <a:avLst/>
                    </a:prstGeom>
                  </pic:spPr>
                </pic:pic>
              </a:graphicData>
            </a:graphic>
          </wp:inline>
        </w:drawing>
      </w:r>
    </w:p>
    <w:p>
      <w:pPr>
        <w:pStyle w:val="LOnormal"/>
        <w:jc w:val="both"/>
        <w:rPr>
          <w:rFonts w:ascii="Arial" w:hAnsi="Arial" w:eastAsia="Arial" w:cs="Arial"/>
          <w:b/>
          <w:b/>
          <w:sz w:val="22"/>
          <w:szCs w:val="22"/>
        </w:rPr>
      </w:pPr>
      <w:r>
        <w:rPr/>
        <w:drawing>
          <wp:inline distT="0" distB="0" distL="0" distR="0">
            <wp:extent cx="6332220" cy="2672715"/>
            <wp:effectExtent l="0" t="0" r="0" b="0"/>
            <wp:docPr id="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 descr=""/>
                    <pic:cNvPicPr>
                      <a:picLocks noChangeAspect="1" noChangeArrowheads="1"/>
                    </pic:cNvPicPr>
                  </pic:nvPicPr>
                  <pic:blipFill>
                    <a:blip r:embed="rId8"/>
                    <a:stretch>
                      <a:fillRect/>
                    </a:stretch>
                  </pic:blipFill>
                  <pic:spPr bwMode="auto">
                    <a:xfrm>
                      <a:off x="0" y="0"/>
                      <a:ext cx="6332220" cy="2672715"/>
                    </a:xfrm>
                    <a:prstGeom prst="rect">
                      <a:avLst/>
                    </a:prstGeom>
                  </pic:spPr>
                </pic:pic>
              </a:graphicData>
            </a:graphic>
          </wp:inline>
        </w:drawing>
      </w:r>
      <w:r>
        <w:br w:type="page"/>
      </w:r>
    </w:p>
    <w:p>
      <w:pPr>
        <w:pStyle w:val="LOnormal"/>
        <w:jc w:val="both"/>
        <w:rPr/>
      </w:pPr>
      <w:r>
        <w:rPr/>
        <w:drawing>
          <wp:inline distT="0" distB="0" distL="0" distR="0">
            <wp:extent cx="6332220" cy="266636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9"/>
                    <a:stretch>
                      <a:fillRect/>
                    </a:stretch>
                  </pic:blipFill>
                  <pic:spPr bwMode="auto">
                    <a:xfrm>
                      <a:off x="0" y="0"/>
                      <a:ext cx="6332220" cy="2666365"/>
                    </a:xfrm>
                    <a:prstGeom prst="rect">
                      <a:avLst/>
                    </a:prstGeom>
                  </pic:spPr>
                </pic:pic>
              </a:graphicData>
            </a:graphic>
          </wp:inline>
        </w:drawing>
      </w:r>
    </w:p>
    <w:p>
      <w:pPr>
        <w:pStyle w:val="LOnormal"/>
        <w:jc w:val="both"/>
        <w:rPr/>
      </w:pPr>
      <w:r>
        <w:rPr/>
        <w:drawing>
          <wp:inline distT="0" distB="0" distL="0" distR="0">
            <wp:extent cx="6332220" cy="2678430"/>
            <wp:effectExtent l="0" t="0" r="0" b="0"/>
            <wp:docPr id="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 descr=""/>
                    <pic:cNvPicPr>
                      <a:picLocks noChangeAspect="1" noChangeArrowheads="1"/>
                    </pic:cNvPicPr>
                  </pic:nvPicPr>
                  <pic:blipFill>
                    <a:blip r:embed="rId10"/>
                    <a:stretch>
                      <a:fillRect/>
                    </a:stretch>
                  </pic:blipFill>
                  <pic:spPr bwMode="auto">
                    <a:xfrm>
                      <a:off x="0" y="0"/>
                      <a:ext cx="6332220" cy="2678430"/>
                    </a:xfrm>
                    <a:prstGeom prst="rect">
                      <a:avLst/>
                    </a:prstGeom>
                  </pic:spPr>
                </pic:pic>
              </a:graphicData>
            </a:graphic>
          </wp:inline>
        </w:drawing>
      </w:r>
      <w:r>
        <w:rPr/>
        <w:drawing>
          <wp:inline distT="0" distB="0" distL="0" distR="0">
            <wp:extent cx="6332220" cy="2765425"/>
            <wp:effectExtent l="0" t="0" r="0" b="0"/>
            <wp:docPr id="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 descr=""/>
                    <pic:cNvPicPr>
                      <a:picLocks noChangeAspect="1" noChangeArrowheads="1"/>
                    </pic:cNvPicPr>
                  </pic:nvPicPr>
                  <pic:blipFill>
                    <a:blip r:embed="rId11"/>
                    <a:stretch>
                      <a:fillRect/>
                    </a:stretch>
                  </pic:blipFill>
                  <pic:spPr bwMode="auto">
                    <a:xfrm>
                      <a:off x="0" y="0"/>
                      <a:ext cx="6332220" cy="2765425"/>
                    </a:xfrm>
                    <a:prstGeom prst="rect">
                      <a:avLst/>
                    </a:prstGeom>
                  </pic:spPr>
                </pic:pic>
              </a:graphicData>
            </a:graphic>
          </wp:inline>
        </w:drawing>
      </w:r>
    </w:p>
    <w:p>
      <w:pPr>
        <w:pStyle w:val="LOnormal"/>
        <w:jc w:val="both"/>
        <w:rPr/>
      </w:pPr>
      <w:r>
        <w:rPr/>
        <w:drawing>
          <wp:inline distT="0" distB="0" distL="0" distR="0">
            <wp:extent cx="6332220" cy="2666365"/>
            <wp:effectExtent l="0" t="0" r="0" b="0"/>
            <wp:docPr id="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4" descr=""/>
                    <pic:cNvPicPr>
                      <a:picLocks noChangeAspect="1" noChangeArrowheads="1"/>
                    </pic:cNvPicPr>
                  </pic:nvPicPr>
                  <pic:blipFill>
                    <a:blip r:embed="rId12"/>
                    <a:stretch>
                      <a:fillRect/>
                    </a:stretch>
                  </pic:blipFill>
                  <pic:spPr bwMode="auto">
                    <a:xfrm>
                      <a:off x="0" y="0"/>
                      <a:ext cx="6332220" cy="2666365"/>
                    </a:xfrm>
                    <a:prstGeom prst="rect">
                      <a:avLst/>
                    </a:prstGeom>
                  </pic:spPr>
                </pic:pic>
              </a:graphicData>
            </a:graphic>
          </wp:inline>
        </w:drawing>
      </w:r>
    </w:p>
    <w:p>
      <w:pPr>
        <w:pStyle w:val="LOnormal"/>
        <w:jc w:val="both"/>
        <w:rPr/>
      </w:pPr>
      <w:r>
        <w:rPr/>
        <w:drawing>
          <wp:inline distT="0" distB="0" distL="0" distR="0">
            <wp:extent cx="6332220" cy="2649220"/>
            <wp:effectExtent l="0" t="0" r="0" b="0"/>
            <wp:docPr id="1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 descr=""/>
                    <pic:cNvPicPr>
                      <a:picLocks noChangeAspect="1" noChangeArrowheads="1"/>
                    </pic:cNvPicPr>
                  </pic:nvPicPr>
                  <pic:blipFill>
                    <a:blip r:embed="rId13"/>
                    <a:stretch>
                      <a:fillRect/>
                    </a:stretch>
                  </pic:blipFill>
                  <pic:spPr bwMode="auto">
                    <a:xfrm>
                      <a:off x="0" y="0"/>
                      <a:ext cx="6332220" cy="2649220"/>
                    </a:xfrm>
                    <a:prstGeom prst="rect">
                      <a:avLst/>
                    </a:prstGeom>
                  </pic:spPr>
                </pic:pic>
              </a:graphicData>
            </a:graphic>
          </wp:inline>
        </w:drawing>
      </w:r>
    </w:p>
    <w:p>
      <w:pPr>
        <w:pStyle w:val="LOnormal"/>
        <w:jc w:val="both"/>
        <w:rPr/>
      </w:pPr>
      <w:r>
        <w:rPr/>
        <w:drawing>
          <wp:inline distT="0" distB="0" distL="0" distR="0">
            <wp:extent cx="6332220" cy="2666365"/>
            <wp:effectExtent l="0" t="0" r="0" b="0"/>
            <wp:docPr id="1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6" descr=""/>
                    <pic:cNvPicPr>
                      <a:picLocks noChangeAspect="1" noChangeArrowheads="1"/>
                    </pic:cNvPicPr>
                  </pic:nvPicPr>
                  <pic:blipFill>
                    <a:blip r:embed="rId14"/>
                    <a:stretch>
                      <a:fillRect/>
                    </a:stretch>
                  </pic:blipFill>
                  <pic:spPr bwMode="auto">
                    <a:xfrm>
                      <a:off x="0" y="0"/>
                      <a:ext cx="6332220" cy="2666365"/>
                    </a:xfrm>
                    <a:prstGeom prst="rect">
                      <a:avLst/>
                    </a:prstGeom>
                  </pic:spPr>
                </pic:pic>
              </a:graphicData>
            </a:graphic>
          </wp:inline>
        </w:drawing>
      </w:r>
    </w:p>
    <w:p>
      <w:pPr>
        <w:pStyle w:val="LOnormal"/>
        <w:jc w:val="both"/>
        <w:rPr/>
      </w:pPr>
      <w:r>
        <w:rPr/>
      </w:r>
    </w:p>
    <w:p>
      <w:pPr>
        <w:pStyle w:val="LOnormal"/>
        <w:jc w:val="both"/>
        <w:rPr/>
      </w:pPr>
      <w:r>
        <w:rPr/>
        <w:drawing>
          <wp:inline distT="0" distB="0" distL="0" distR="0">
            <wp:extent cx="6332220" cy="2643505"/>
            <wp:effectExtent l="0" t="0" r="0" b="0"/>
            <wp:docPr id="12"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 descr=""/>
                    <pic:cNvPicPr>
                      <a:picLocks noChangeAspect="1" noChangeArrowheads="1"/>
                    </pic:cNvPicPr>
                  </pic:nvPicPr>
                  <pic:blipFill>
                    <a:blip r:embed="rId15"/>
                    <a:stretch>
                      <a:fillRect/>
                    </a:stretch>
                  </pic:blipFill>
                  <pic:spPr bwMode="auto">
                    <a:xfrm>
                      <a:off x="0" y="0"/>
                      <a:ext cx="6332220" cy="2643505"/>
                    </a:xfrm>
                    <a:prstGeom prst="rect">
                      <a:avLst/>
                    </a:prstGeom>
                  </pic:spPr>
                </pic:pic>
              </a:graphicData>
            </a:graphic>
          </wp:inline>
        </w:drawing>
      </w:r>
    </w:p>
    <w:p>
      <w:pPr>
        <w:pStyle w:val="LOnormal"/>
        <w:jc w:val="both"/>
        <w:rPr/>
      </w:pPr>
      <w:r>
        <w:rPr/>
        <w:drawing>
          <wp:inline distT="0" distB="0" distL="0" distR="0">
            <wp:extent cx="6332220" cy="2666365"/>
            <wp:effectExtent l="0" t="0" r="0" b="0"/>
            <wp:docPr id="1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8" descr=""/>
                    <pic:cNvPicPr>
                      <a:picLocks noChangeAspect="1" noChangeArrowheads="1"/>
                    </pic:cNvPicPr>
                  </pic:nvPicPr>
                  <pic:blipFill>
                    <a:blip r:embed="rId16"/>
                    <a:stretch>
                      <a:fillRect/>
                    </a:stretch>
                  </pic:blipFill>
                  <pic:spPr bwMode="auto">
                    <a:xfrm>
                      <a:off x="0" y="0"/>
                      <a:ext cx="6332220" cy="2666365"/>
                    </a:xfrm>
                    <a:prstGeom prst="rect">
                      <a:avLst/>
                    </a:prstGeom>
                  </pic:spPr>
                </pic:pic>
              </a:graphicData>
            </a:graphic>
          </wp:inline>
        </w:drawing>
      </w:r>
    </w:p>
    <w:p>
      <w:pPr>
        <w:pStyle w:val="LOnormal"/>
        <w:jc w:val="both"/>
        <w:rPr/>
      </w:pPr>
      <w:r>
        <w:rPr/>
        <w:drawing>
          <wp:inline distT="0" distB="0" distL="0" distR="0">
            <wp:extent cx="6332220" cy="2666365"/>
            <wp:effectExtent l="0" t="0" r="0" b="0"/>
            <wp:docPr id="1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 descr=""/>
                    <pic:cNvPicPr>
                      <a:picLocks noChangeAspect="1" noChangeArrowheads="1"/>
                    </pic:cNvPicPr>
                  </pic:nvPicPr>
                  <pic:blipFill>
                    <a:blip r:embed="rId17"/>
                    <a:stretch>
                      <a:fillRect/>
                    </a:stretch>
                  </pic:blipFill>
                  <pic:spPr bwMode="auto">
                    <a:xfrm>
                      <a:off x="0" y="0"/>
                      <a:ext cx="6332220" cy="2666365"/>
                    </a:xfrm>
                    <a:prstGeom prst="rect">
                      <a:avLst/>
                    </a:prstGeom>
                  </pic:spPr>
                </pic:pic>
              </a:graphicData>
            </a:graphic>
          </wp:inline>
        </w:drawing>
      </w:r>
    </w:p>
    <w:p>
      <w:pPr>
        <w:pStyle w:val="LOnormal"/>
        <w:jc w:val="both"/>
        <w:rPr/>
      </w:pPr>
      <w:r>
        <w:rPr/>
      </w:r>
    </w:p>
    <w:p>
      <w:pPr>
        <w:pStyle w:val="LOnormal"/>
        <w:jc w:val="both"/>
        <w:rPr/>
      </w:pPr>
      <w:r>
        <w:rPr/>
        <w:drawing>
          <wp:inline distT="0" distB="0" distL="0" distR="0">
            <wp:extent cx="6332220" cy="2666365"/>
            <wp:effectExtent l="0" t="0" r="0" b="0"/>
            <wp:docPr id="15"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0" descr=""/>
                    <pic:cNvPicPr>
                      <a:picLocks noChangeAspect="1" noChangeArrowheads="1"/>
                    </pic:cNvPicPr>
                  </pic:nvPicPr>
                  <pic:blipFill>
                    <a:blip r:embed="rId18"/>
                    <a:stretch>
                      <a:fillRect/>
                    </a:stretch>
                  </pic:blipFill>
                  <pic:spPr bwMode="auto">
                    <a:xfrm>
                      <a:off x="0" y="0"/>
                      <a:ext cx="6332220" cy="2666365"/>
                    </a:xfrm>
                    <a:prstGeom prst="rect">
                      <a:avLst/>
                    </a:prstGeom>
                  </pic:spPr>
                </pic:pic>
              </a:graphicData>
            </a:graphic>
          </wp:inline>
        </w:drawing>
      </w:r>
    </w:p>
    <w:p>
      <w:pPr>
        <w:pStyle w:val="LOnormal"/>
        <w:jc w:val="both"/>
        <w:rPr/>
      </w:pPr>
      <w:r>
        <w:rPr/>
        <w:drawing>
          <wp:inline distT="0" distB="0" distL="0" distR="0">
            <wp:extent cx="6332220" cy="2672715"/>
            <wp:effectExtent l="0" t="0" r="0" b="0"/>
            <wp:docPr id="16"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 descr=""/>
                    <pic:cNvPicPr>
                      <a:picLocks noChangeAspect="1" noChangeArrowheads="1"/>
                    </pic:cNvPicPr>
                  </pic:nvPicPr>
                  <pic:blipFill>
                    <a:blip r:embed="rId19"/>
                    <a:stretch>
                      <a:fillRect/>
                    </a:stretch>
                  </pic:blipFill>
                  <pic:spPr bwMode="auto">
                    <a:xfrm>
                      <a:off x="0" y="0"/>
                      <a:ext cx="6332220" cy="2672715"/>
                    </a:xfrm>
                    <a:prstGeom prst="rect">
                      <a:avLst/>
                    </a:prstGeom>
                  </pic:spPr>
                </pic:pic>
              </a:graphicData>
            </a:graphic>
          </wp:inline>
        </w:drawing>
      </w:r>
    </w:p>
    <w:p>
      <w:pPr>
        <w:pStyle w:val="LOnormal"/>
        <w:jc w:val="both"/>
        <w:rPr/>
      </w:pPr>
      <w:r>
        <w:rPr/>
        <w:drawing>
          <wp:inline distT="0" distB="0" distL="0" distR="0">
            <wp:extent cx="6332220" cy="2678430"/>
            <wp:effectExtent l="0" t="0" r="0" b="0"/>
            <wp:docPr id="17"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2" descr=""/>
                    <pic:cNvPicPr>
                      <a:picLocks noChangeAspect="1" noChangeArrowheads="1"/>
                    </pic:cNvPicPr>
                  </pic:nvPicPr>
                  <pic:blipFill>
                    <a:blip r:embed="rId20"/>
                    <a:stretch>
                      <a:fillRect/>
                    </a:stretch>
                  </pic:blipFill>
                  <pic:spPr bwMode="auto">
                    <a:xfrm>
                      <a:off x="0" y="0"/>
                      <a:ext cx="6332220" cy="2678430"/>
                    </a:xfrm>
                    <a:prstGeom prst="rect">
                      <a:avLst/>
                    </a:prstGeom>
                  </pic:spPr>
                </pic:pic>
              </a:graphicData>
            </a:graphic>
          </wp:inline>
        </w:drawing>
      </w:r>
    </w:p>
    <w:p>
      <w:pPr>
        <w:pStyle w:val="LOnormal"/>
        <w:jc w:val="both"/>
        <w:rPr/>
      </w:pPr>
      <w:r>
        <w:rPr/>
      </w:r>
    </w:p>
    <w:p>
      <w:pPr>
        <w:pStyle w:val="LOnormal"/>
        <w:jc w:val="both"/>
        <w:rPr/>
      </w:pPr>
      <w:r>
        <w:rPr/>
        <w:drawing>
          <wp:inline distT="0" distB="0" distL="0" distR="0">
            <wp:extent cx="1663065" cy="2825750"/>
            <wp:effectExtent l="0" t="0" r="0" b="0"/>
            <wp:docPr id="18"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 descr=""/>
                    <pic:cNvPicPr>
                      <a:picLocks noChangeAspect="1" noChangeArrowheads="1"/>
                    </pic:cNvPicPr>
                  </pic:nvPicPr>
                  <pic:blipFill>
                    <a:blip r:embed="rId21"/>
                    <a:stretch>
                      <a:fillRect/>
                    </a:stretch>
                  </pic:blipFill>
                  <pic:spPr bwMode="auto">
                    <a:xfrm>
                      <a:off x="0" y="0"/>
                      <a:ext cx="1663065" cy="2825750"/>
                    </a:xfrm>
                    <a:prstGeom prst="rect">
                      <a:avLst/>
                    </a:prstGeom>
                  </pic:spPr>
                </pic:pic>
              </a:graphicData>
            </a:graphic>
          </wp:inline>
        </w:drawing>
      </w:r>
      <w:r>
        <w:rPr/>
        <w:tab/>
      </w:r>
      <w:r>
        <w:rPr/>
        <w:drawing>
          <wp:inline distT="0" distB="0" distL="0" distR="0">
            <wp:extent cx="1663065" cy="2825750"/>
            <wp:effectExtent l="0" t="0" r="0" b="0"/>
            <wp:docPr id="1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4" descr=""/>
                    <pic:cNvPicPr>
                      <a:picLocks noChangeAspect="1" noChangeArrowheads="1"/>
                    </pic:cNvPicPr>
                  </pic:nvPicPr>
                  <pic:blipFill>
                    <a:blip r:embed="rId22"/>
                    <a:stretch>
                      <a:fillRect/>
                    </a:stretch>
                  </pic:blipFill>
                  <pic:spPr bwMode="auto">
                    <a:xfrm>
                      <a:off x="0" y="0"/>
                      <a:ext cx="1663065" cy="2825750"/>
                    </a:xfrm>
                    <a:prstGeom prst="rect">
                      <a:avLst/>
                    </a:prstGeom>
                  </pic:spPr>
                </pic:pic>
              </a:graphicData>
            </a:graphic>
          </wp:inline>
        </w:drawing>
      </w:r>
    </w:p>
    <w:p>
      <w:pPr>
        <w:pStyle w:val="LOnormal"/>
        <w:jc w:val="both"/>
        <w:rPr/>
      </w:pPr>
      <w:r>
        <w:rPr/>
        <w:drawing>
          <wp:inline distT="0" distB="0" distL="0" distR="0">
            <wp:extent cx="6332220" cy="2649220"/>
            <wp:effectExtent l="0" t="0" r="0" b="0"/>
            <wp:docPr id="2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 descr=""/>
                    <pic:cNvPicPr>
                      <a:picLocks noChangeAspect="1" noChangeArrowheads="1"/>
                    </pic:cNvPicPr>
                  </pic:nvPicPr>
                  <pic:blipFill>
                    <a:blip r:embed="rId23"/>
                    <a:stretch>
                      <a:fillRect/>
                    </a:stretch>
                  </pic:blipFill>
                  <pic:spPr bwMode="auto">
                    <a:xfrm>
                      <a:off x="0" y="0"/>
                      <a:ext cx="6332220" cy="2649220"/>
                    </a:xfrm>
                    <a:prstGeom prst="rect">
                      <a:avLst/>
                    </a:prstGeom>
                  </pic:spPr>
                </pic:pic>
              </a:graphicData>
            </a:graphic>
          </wp:inline>
        </w:drawing>
      </w:r>
    </w:p>
    <w:p>
      <w:pPr>
        <w:pStyle w:val="LOnormal"/>
        <w:jc w:val="both"/>
        <w:rPr>
          <w:rFonts w:ascii="Arial" w:hAnsi="Arial" w:eastAsia="Arial" w:cs="Arial"/>
          <w:b/>
          <w:b/>
          <w:sz w:val="22"/>
          <w:szCs w:val="22"/>
        </w:rPr>
      </w:pPr>
      <w:r>
        <w:rPr>
          <w:rFonts w:eastAsia="Arial" w:cs="Arial" w:ascii="Arial" w:hAnsi="Arial"/>
          <w:b/>
          <w:sz w:val="22"/>
          <w:szCs w:val="22"/>
        </w:rPr>
      </w:r>
    </w:p>
    <w:p>
      <w:pPr>
        <w:pStyle w:val="LOnormal"/>
        <w:jc w:val="both"/>
        <w:rPr/>
      </w:pPr>
      <w:r>
        <w:rPr>
          <w:rFonts w:eastAsia="Arial" w:cs="Arial" w:ascii="Arial" w:hAnsi="Arial"/>
          <w:b/>
          <w:sz w:val="22"/>
          <w:szCs w:val="22"/>
        </w:rPr>
        <w:t xml:space="preserve">Figure S2.3. </w:t>
      </w:r>
      <w:r>
        <w:rPr>
          <w:rFonts w:eastAsia="Arial" w:cs="Arial" w:ascii="Arial" w:hAnsi="Arial"/>
          <w:sz w:val="22"/>
          <w:szCs w:val="22"/>
        </w:rPr>
        <w:t>For each species, Maxent predictions are presented as continuous habitat suitability map</w:t>
      </w:r>
      <w:r>
        <w:rPr>
          <w:rFonts w:eastAsia="Arial" w:cs="Arial" w:ascii="Arial" w:hAnsi="Arial"/>
          <w:sz w:val="22"/>
          <w:szCs w:val="22"/>
        </w:rPr>
        <w:t>s</w:t>
      </w:r>
      <w:r>
        <w:rPr>
          <w:rFonts w:eastAsia="Arial" w:cs="Arial" w:ascii="Arial" w:hAnsi="Arial"/>
          <w:sz w:val="22"/>
          <w:szCs w:val="22"/>
        </w:rPr>
        <w:t xml:space="preserve"> for peninsular India at 0.083</w:t>
      </w:r>
      <w:r>
        <w:rPr>
          <w:rFonts w:eastAsia="Arial Unicode MS" w:cs="Arial Unicode MS" w:ascii="Arial" w:hAnsi="Arial"/>
          <w:sz w:val="22"/>
          <w:szCs w:val="22"/>
        </w:rPr>
        <w:t xml:space="preserve">° ✕ </w:t>
      </w:r>
      <w:r>
        <w:rPr>
          <w:rFonts w:eastAsia="Arial" w:cs="Arial" w:ascii="Arial" w:hAnsi="Arial"/>
          <w:sz w:val="22"/>
          <w:szCs w:val="22"/>
        </w:rPr>
        <w:t xml:space="preserve">0.083° resolution from Maxent (left), presence-absence map for the Western Ghats at </w:t>
      </w:r>
      <w:r>
        <w:rPr>
          <w:rFonts w:eastAsia="Arial Unicode MS" w:cs="Arial Unicode MS" w:ascii="Arial" w:hAnsi="Arial"/>
          <w:sz w:val="22"/>
          <w:szCs w:val="22"/>
        </w:rPr>
        <w:t xml:space="preserve">0.083° ✕ </w:t>
      </w:r>
      <w:r>
        <w:rPr>
          <w:rFonts w:eastAsia="Arial" w:cs="Arial" w:ascii="Arial" w:hAnsi="Arial"/>
          <w:sz w:val="22"/>
          <w:szCs w:val="22"/>
        </w:rPr>
        <w:t>0.083° resolution obtained after applying a threshold of maximum sum of sensitivity and specificity and retaining cells above this value (center) and</w:t>
      </w:r>
      <w:r>
        <w:rPr>
          <w:rFonts w:eastAsia="Arial" w:cs="Arial" w:ascii="Arial" w:hAnsi="Arial"/>
          <w:b/>
          <w:sz w:val="22"/>
          <w:szCs w:val="22"/>
        </w:rPr>
        <w:t xml:space="preserve"> </w:t>
      </w:r>
      <w:r>
        <w:rPr>
          <w:rFonts w:eastAsia="Arial" w:cs="Arial" w:ascii="Arial" w:hAnsi="Arial"/>
          <w:b w:val="false"/>
          <w:bCs w:val="false"/>
          <w:sz w:val="22"/>
          <w:szCs w:val="22"/>
        </w:rPr>
        <w:t>p</w:t>
      </w:r>
      <w:r>
        <w:rPr>
          <w:rFonts w:eastAsia="Arial Unicode MS" w:cs="Arial Unicode MS" w:ascii="Arial" w:hAnsi="Arial"/>
          <w:sz w:val="22"/>
          <w:szCs w:val="22"/>
        </w:rPr>
        <w:t>resence-absence map for the Western Ghats aggregated to 0.83° ✕ 0.83° resolution (right).</w:t>
      </w:r>
    </w:p>
    <w:p>
      <w:pPr>
        <w:pStyle w:val="LOnormal"/>
        <w:jc w:val="both"/>
        <w:rPr/>
      </w:pPr>
      <w:r>
        <w:rPr>
          <w:rFonts w:eastAsia="Arial" w:cs="Arial" w:ascii="Arial" w:hAnsi="Arial"/>
          <w:sz w:val="22"/>
          <w:szCs w:val="22"/>
        </w:rPr>
        <w:t xml:space="preserve">For the two species listed below, the red bars in </w:t>
      </w:r>
      <w:r>
        <w:rPr>
          <w:rFonts w:eastAsia="Arial" w:cs="Arial" w:ascii="Arial" w:hAnsi="Arial"/>
          <w:sz w:val="22"/>
          <w:szCs w:val="22"/>
        </w:rPr>
        <w:t xml:space="preserve">the </w:t>
      </w:r>
      <w:r>
        <w:rPr>
          <w:rFonts w:eastAsia="Arial" w:cs="Arial" w:ascii="Arial" w:hAnsi="Arial"/>
          <w:sz w:val="22"/>
          <w:szCs w:val="22"/>
        </w:rPr>
        <w:t xml:space="preserve">sub-figure on the right panel represent limits applied to the predicted range to remove small pockets of predicted habitat suitability located substantially farther away from observed presence locations: </w:t>
      </w:r>
      <w:r>
        <w:rPr>
          <w:rFonts w:eastAsia="Arial" w:cs="Arial" w:ascii="Arial" w:hAnsi="Arial"/>
          <w:i/>
          <w:sz w:val="22"/>
          <w:szCs w:val="22"/>
        </w:rPr>
        <w:t>Ethmostigmus coonooranus –</w:t>
      </w:r>
      <w:r>
        <w:rPr>
          <w:rFonts w:eastAsia="Arial" w:cs="Arial" w:ascii="Arial" w:hAnsi="Arial"/>
          <w:sz w:val="22"/>
          <w:szCs w:val="22"/>
        </w:rPr>
        <w:t xml:space="preserve"> removed predictions &gt;16°N, </w:t>
      </w:r>
      <w:r>
        <w:rPr>
          <w:rFonts w:eastAsia="Arial" w:cs="Arial" w:ascii="Arial" w:hAnsi="Arial"/>
          <w:i/>
          <w:iCs/>
          <w:sz w:val="22"/>
          <w:szCs w:val="22"/>
        </w:rPr>
        <w:t>E. sahyadrensis</w:t>
      </w:r>
      <w:r>
        <w:rPr>
          <w:rFonts w:eastAsia="Arial" w:cs="Arial" w:ascii="Arial" w:hAnsi="Arial"/>
          <w:i/>
          <w:sz w:val="22"/>
          <w:szCs w:val="22"/>
        </w:rPr>
        <w:t xml:space="preserve"> – </w:t>
      </w:r>
      <w:r>
        <w:rPr>
          <w:rFonts w:eastAsia="Arial" w:cs="Arial" w:ascii="Arial" w:hAnsi="Arial"/>
          <w:sz w:val="22"/>
          <w:szCs w:val="22"/>
        </w:rPr>
        <w:t>removed predictions &lt;14°N</w:t>
      </w:r>
    </w:p>
    <w:sectPr>
      <w:footerReference w:type="default" r:id="rId24"/>
      <w:type w:val="nextPage"/>
      <w:pgSz w:w="12240" w:h="15840"/>
      <w:pgMar w:left="1134" w:right="1134" w:header="0" w:top="1134" w:footer="1134" w:bottom="167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Georgia">
    <w:charset w:val="01"/>
    <w:family w:val="roman"/>
    <w:pitch w:val="variable"/>
  </w:font>
  <w:font w:name="Liberation Mono">
    <w:altName w:val="Courier New"/>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rFonts w:ascii="Arial" w:hAnsi="Arial"/>
        <w:sz w:val="22"/>
        <w:szCs w:val="22"/>
      </w:rPr>
      <w:fldChar w:fldCharType="begin"/>
    </w:r>
    <w:r>
      <w:rPr>
        <w:sz w:val="22"/>
        <w:szCs w:val="22"/>
        <w:rFonts w:ascii="Arial" w:hAnsi="Arial"/>
      </w:rPr>
      <w:instrText> PAGE </w:instrText>
    </w:r>
    <w:r>
      <w:rPr>
        <w:sz w:val="22"/>
        <w:szCs w:val="22"/>
        <w:rFonts w:ascii="Arial" w:hAnsi="Arial"/>
      </w:rPr>
      <w:fldChar w:fldCharType="separate"/>
    </w:r>
    <w:r>
      <w:rPr>
        <w:sz w:val="22"/>
        <w:szCs w:val="22"/>
        <w:rFonts w:ascii="Arial" w:hAnsi="Arial"/>
      </w:rPr>
      <w:t>5</w:t>
    </w:r>
    <w:r>
      <w:rPr>
        <w:sz w:val="22"/>
        <w:szCs w:val="22"/>
        <w:rFonts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rFonts w:ascii="Arial" w:hAnsi="Arial"/>
        <w:sz w:val="22"/>
        <w:szCs w:val="22"/>
      </w:rPr>
      <w:fldChar w:fldCharType="begin"/>
    </w:r>
    <w:r>
      <w:rPr>
        <w:sz w:val="22"/>
        <w:szCs w:val="22"/>
        <w:rFonts w:ascii="Arial" w:hAnsi="Arial"/>
      </w:rPr>
      <w:instrText> PAGE </w:instrText>
    </w:r>
    <w:r>
      <w:rPr>
        <w:sz w:val="22"/>
        <w:szCs w:val="22"/>
        <w:rFonts w:ascii="Arial" w:hAnsi="Arial"/>
      </w:rPr>
      <w:fldChar w:fldCharType="separate"/>
    </w:r>
    <w:r>
      <w:rPr>
        <w:sz w:val="22"/>
        <w:szCs w:val="22"/>
        <w:rFonts w:ascii="Arial" w:hAnsi="Arial"/>
      </w:rPr>
      <w:t>18</w:t>
    </w:r>
    <w:r>
      <w:rPr>
        <w:sz w:val="22"/>
        <w:szCs w:val="22"/>
        <w:rFonts w:ascii="Arial" w:hAnsi="Arial"/>
      </w:rPr>
      <w:fldChar w:fldCharType="end"/>
    </w:r>
  </w:p>
</w:ftr>
</file>

<file path=word/settings.xml><?xml version="1.0" encoding="utf-8"?>
<w:settings xmlns:w="http://schemas.openxmlformats.org/wordprocessingml/2006/main">
  <w:zoom w:percent="100"/>
  <w:defaultTabStop w:val="720"/>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n-IN"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Liberation Serif" w:hAnsi="Liberation Serif" w:eastAsia="Liberation Serif" w:cs="Liberation Serif"/>
      <w:color w:val="auto"/>
      <w:kern w:val="0"/>
      <w:sz w:val="24"/>
      <w:szCs w:val="24"/>
      <w:lang w:val="en-IN" w:eastAsia="zh-CN" w:bidi="hi-IN"/>
    </w:rPr>
  </w:style>
  <w:style w:type="paragraph" w:styleId="Heading1">
    <w:name w:val="Heading 1"/>
    <w:basedOn w:val="LOnormal"/>
    <w:next w:val="LOnormal"/>
    <w:uiPriority w:val="9"/>
    <w:qFormat/>
    <w:pPr>
      <w:keepNext w:val="true"/>
      <w:keepLines/>
      <w:spacing w:before="480" w:after="120"/>
      <w:outlineLvl w:val="0"/>
    </w:pPr>
    <w:rPr>
      <w:b/>
      <w:sz w:val="48"/>
      <w:szCs w:val="48"/>
    </w:rPr>
  </w:style>
  <w:style w:type="paragraph" w:styleId="Heading2">
    <w:name w:val="Heading 2"/>
    <w:basedOn w:val="LOnormal"/>
    <w:next w:val="LOnormal"/>
    <w:uiPriority w:val="9"/>
    <w:semiHidden/>
    <w:unhideWhenUsed/>
    <w:qFormat/>
    <w:pPr>
      <w:keepNext w:val="true"/>
      <w:keepLines/>
      <w:spacing w:before="360" w:after="80"/>
      <w:outlineLvl w:val="1"/>
    </w:pPr>
    <w:rPr>
      <w:b/>
      <w:sz w:val="36"/>
      <w:szCs w:val="36"/>
    </w:rPr>
  </w:style>
  <w:style w:type="paragraph" w:styleId="Heading3">
    <w:name w:val="Heading 3"/>
    <w:basedOn w:val="LOnormal"/>
    <w:next w:val="LOnormal"/>
    <w:uiPriority w:val="9"/>
    <w:semiHidden/>
    <w:unhideWhenUsed/>
    <w:qFormat/>
    <w:pPr>
      <w:keepNext w:val="true"/>
      <w:keepLines/>
      <w:spacing w:before="280" w:after="80"/>
      <w:outlineLvl w:val="2"/>
    </w:pPr>
    <w:rPr>
      <w:b/>
      <w:sz w:val="28"/>
      <w:szCs w:val="28"/>
    </w:rPr>
  </w:style>
  <w:style w:type="paragraph" w:styleId="Heading4">
    <w:name w:val="Heading 4"/>
    <w:basedOn w:val="LOnormal"/>
    <w:next w:val="LOnormal"/>
    <w:uiPriority w:val="9"/>
    <w:semiHidden/>
    <w:unhideWhenUsed/>
    <w:qFormat/>
    <w:pPr>
      <w:keepNext w:val="true"/>
      <w:keepLines/>
      <w:spacing w:before="240" w:after="40"/>
      <w:outlineLvl w:val="3"/>
    </w:pPr>
    <w:rPr>
      <w:b/>
    </w:rPr>
  </w:style>
  <w:style w:type="paragraph" w:styleId="Heading5">
    <w:name w:val="Heading 5"/>
    <w:basedOn w:val="LOnormal"/>
    <w:next w:val="LOnormal"/>
    <w:uiPriority w:val="9"/>
    <w:semiHidden/>
    <w:unhideWhenUsed/>
    <w:qFormat/>
    <w:pPr>
      <w:keepNext w:val="true"/>
      <w:keepLines/>
      <w:spacing w:before="220" w:after="40"/>
      <w:outlineLvl w:val="4"/>
    </w:pPr>
    <w:rPr>
      <w:b/>
      <w:sz w:val="22"/>
      <w:szCs w:val="22"/>
    </w:rPr>
  </w:style>
  <w:style w:type="paragraph" w:styleId="Heading6">
    <w:name w:val="Heading 6"/>
    <w:basedOn w:val="LOnormal"/>
    <w:next w:val="LO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customStyle="1">
    <w:name w:val="Internet Link"/>
    <w:rPr>
      <w:color w:val="000080"/>
      <w:u w:val="single"/>
    </w:rPr>
  </w:style>
  <w:style w:type="paragraph" w:styleId="Heading" w:customStyle="1">
    <w:name w:val="Heading"/>
    <w:basedOn w:val="LO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LO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LOnormal"/>
    <w:qFormat/>
    <w:pPr>
      <w:suppressLineNumbers/>
    </w:pPr>
    <w:rPr/>
  </w:style>
  <w:style w:type="paragraph" w:styleId="Caption1">
    <w:name w:val="caption"/>
    <w:basedOn w:val="LOnormal"/>
    <w:qFormat/>
    <w:pPr>
      <w:suppressLineNumbers/>
      <w:spacing w:before="120" w:after="120"/>
    </w:pPr>
    <w:rPr>
      <w:i/>
      <w:iCs/>
    </w:rPr>
  </w:style>
  <w:style w:type="paragraph" w:styleId="LOnormal" w:customStyle="1">
    <w:name w:val="LO-normal"/>
    <w:qFormat/>
    <w:pPr>
      <w:widowControl/>
      <w:bidi w:val="0"/>
      <w:snapToGrid w:val="false"/>
      <w:spacing w:before="0" w:after="0"/>
      <w:jc w:val="left"/>
    </w:pPr>
    <w:rPr>
      <w:rFonts w:ascii="Liberation Serif" w:hAnsi="Liberation Serif" w:eastAsia="Liberation Serif" w:cs="Liberation Serif"/>
      <w:color w:val="auto"/>
      <w:kern w:val="0"/>
      <w:sz w:val="24"/>
      <w:szCs w:val="24"/>
      <w:lang w:val="en-IN" w:eastAsia="zh-CN" w:bidi="hi-IN"/>
    </w:rPr>
  </w:style>
  <w:style w:type="paragraph" w:styleId="Title">
    <w:name w:val="Title"/>
    <w:basedOn w:val="LOnormal"/>
    <w:next w:val="LOnormal"/>
    <w:uiPriority w:val="10"/>
    <w:qFormat/>
    <w:pPr>
      <w:keepNext w:val="true"/>
      <w:keepLines/>
      <w:spacing w:before="480" w:after="120"/>
    </w:pPr>
    <w:rPr>
      <w:b/>
      <w:sz w:val="72"/>
      <w:szCs w:val="72"/>
    </w:rPr>
  </w:style>
  <w:style w:type="paragraph" w:styleId="Bibliography1" w:customStyle="1">
    <w:name w:val="Bibliography 1"/>
    <w:basedOn w:val="Index"/>
    <w:qFormat/>
    <w:pPr>
      <w:spacing w:lineRule="atLeast" w:line="480"/>
      <w:ind w:left="720" w:hanging="720"/>
    </w:pPr>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HeaderandFooter" w:customStyle="1">
    <w:name w:val="Header and Footer"/>
    <w:basedOn w:val="Normal"/>
    <w:qFormat/>
    <w:pPr>
      <w:suppressLineNumbers/>
      <w:tabs>
        <w:tab w:val="clear" w:pos="720"/>
        <w:tab w:val="center" w:pos="4986" w:leader="none"/>
        <w:tab w:val="right" w:pos="9972" w:leader="none"/>
      </w:tabs>
    </w:pPr>
    <w:rPr/>
  </w:style>
  <w:style w:type="paragraph" w:styleId="Footer">
    <w:name w:val="Footer"/>
    <w:basedOn w:val="HeaderandFooter"/>
    <w:pPr/>
    <w:rPr/>
  </w:style>
  <w:style w:type="paragraph" w:styleId="TableContents" w:customStyle="1">
    <w:name w:val="Table Contents"/>
    <w:basedOn w:val="Normal"/>
    <w:qFormat/>
    <w:pPr>
      <w:suppressLineNumbers/>
    </w:pPr>
    <w:rPr/>
  </w:style>
  <w:style w:type="paragraph" w:styleId="PreformattedText" w:customStyle="1">
    <w:name w:val="Preformatted Text"/>
    <w:basedOn w:val="Normal"/>
    <w:qFormat/>
    <w:pPr/>
    <w:rPr>
      <w:rFonts w:ascii="Liberation Mono" w:hAnsi="Liberation Mono" w:eastAsia="Noto Sans Mono CJK SC" w:cs="Liberation Mono"/>
      <w:sz w:val="20"/>
      <w:szCs w:val="20"/>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3123</TotalTime>
  <Application>LibreOffice/6.3.5.2$Linux_X86_64 LibreOffice_project/30$Build-2</Application>
  <Pages>18</Pages>
  <Words>2486</Words>
  <Characters>14773</Characters>
  <CharactersWithSpaces>16333</CharactersWithSpaces>
  <Paragraphs>1012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2020-08-10T09:11:00Z</dcterms:created>
  <dc:creator/>
  <dc:description/>
  <dc:language>en-IN</dc:language>
  <cp:lastModifiedBy/>
  <dcterms:modified xsi:type="dcterms:W3CDTF">2021-04-20T19:38:15Z</dcterms:modified>
  <cp:revision>155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