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91C" w:rsidRPr="00E376DE" w:rsidRDefault="00F46944" w:rsidP="0045799A">
      <w:pPr>
        <w:jc w:val="center"/>
        <w:rPr>
          <w:rFonts w:ascii="Times New Roman" w:hAnsi="Times New Roman" w:cs="Times New Roman"/>
          <w:b/>
          <w:noProof/>
          <w:sz w:val="24"/>
          <w:szCs w:val="24"/>
          <w:lang w:val="en-US"/>
        </w:rPr>
      </w:pPr>
      <w:bookmarkStart w:id="0" w:name="_GoBack"/>
      <w:bookmarkEnd w:id="0"/>
      <w:r w:rsidRPr="00E376DE">
        <w:rPr>
          <w:rFonts w:ascii="Times New Roman" w:hAnsi="Times New Roman" w:cs="Times New Roman"/>
          <w:b/>
          <w:noProof/>
          <w:sz w:val="24"/>
          <w:szCs w:val="24"/>
          <w:lang w:val="en-US"/>
        </w:rPr>
        <w:t>APPENDICES</w:t>
      </w:r>
    </w:p>
    <w:p w:rsidR="00483908" w:rsidRDefault="00483908" w:rsidP="00483908">
      <w:pPr>
        <w:pStyle w:val="Caption"/>
        <w:keepNext/>
        <w:jc w:val="both"/>
        <w:rPr>
          <w:rFonts w:ascii="Times New Roman" w:hAnsi="Times New Roman" w:cs="Times New Roman"/>
          <w:i w:val="0"/>
          <w:color w:val="auto"/>
          <w:sz w:val="24"/>
          <w:szCs w:val="24"/>
        </w:rPr>
      </w:pPr>
      <w:r w:rsidRPr="00B90298">
        <w:rPr>
          <w:rFonts w:ascii="Times New Roman" w:hAnsi="Times New Roman" w:cs="Times New Roman"/>
          <w:i w:val="0"/>
          <w:color w:val="auto"/>
          <w:sz w:val="24"/>
          <w:szCs w:val="24"/>
        </w:rPr>
        <w:t>Appendix S1: Flow chart of methods used in the study.</w:t>
      </w:r>
    </w:p>
    <w:p w:rsidR="007F6A9D" w:rsidRDefault="007F6A9D" w:rsidP="00E90606">
      <w:pPr>
        <w:pStyle w:val="Caption"/>
        <w:keepNext/>
        <w:jc w:val="both"/>
        <w:rPr>
          <w:rFonts w:ascii="Times New Roman" w:hAnsi="Times New Roman" w:cs="Times New Roman"/>
          <w:i w:val="0"/>
          <w:color w:val="auto"/>
          <w:sz w:val="24"/>
          <w:szCs w:val="24"/>
        </w:rPr>
      </w:pPr>
    </w:p>
    <w:p w:rsidR="007F6A9D" w:rsidRDefault="00B90298" w:rsidP="00E90606">
      <w:pPr>
        <w:pStyle w:val="Caption"/>
        <w:keepNext/>
        <w:jc w:val="both"/>
        <w:rPr>
          <w:rFonts w:ascii="Times New Roman" w:hAnsi="Times New Roman" w:cs="Times New Roman"/>
          <w:i w:val="0"/>
          <w:color w:val="auto"/>
          <w:sz w:val="24"/>
          <w:szCs w:val="24"/>
        </w:rPr>
      </w:pPr>
      <w:r w:rsidRPr="00F2200F">
        <w:rPr>
          <w:noProof/>
          <w:lang w:val="en-US"/>
        </w:rPr>
        <w:drawing>
          <wp:inline distT="0" distB="0" distL="0" distR="0" wp14:anchorId="327E06EA" wp14:editId="27DC00F2">
            <wp:extent cx="9166225"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77834" cy="3748066"/>
                    </a:xfrm>
                    <a:prstGeom prst="rect">
                      <a:avLst/>
                    </a:prstGeom>
                    <a:noFill/>
                    <a:ln>
                      <a:noFill/>
                    </a:ln>
                  </pic:spPr>
                </pic:pic>
              </a:graphicData>
            </a:graphic>
          </wp:inline>
        </w:drawing>
      </w:r>
    </w:p>
    <w:p w:rsidR="00483908" w:rsidRDefault="00483908" w:rsidP="00483908"/>
    <w:p w:rsidR="00483908" w:rsidRDefault="00483908" w:rsidP="00483908"/>
    <w:p w:rsidR="00483908" w:rsidRDefault="00483908" w:rsidP="00483908"/>
    <w:p w:rsidR="00B90298" w:rsidRDefault="00B90298" w:rsidP="00483908">
      <w:pPr>
        <w:sectPr w:rsidR="00B90298" w:rsidSect="00B90298">
          <w:footerReference w:type="default" r:id="rId9"/>
          <w:pgSz w:w="16838" w:h="11906" w:orient="landscape"/>
          <w:pgMar w:top="1440" w:right="1440" w:bottom="1440" w:left="1440" w:header="709" w:footer="709" w:gutter="0"/>
          <w:cols w:space="708"/>
          <w:docGrid w:linePitch="360"/>
        </w:sectPr>
      </w:pPr>
    </w:p>
    <w:p w:rsidR="00E90606" w:rsidRPr="00497DE8" w:rsidRDefault="007F6A9D" w:rsidP="00E90606">
      <w:pPr>
        <w:pStyle w:val="Caption"/>
        <w:keepNext/>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Appendix S2</w:t>
      </w:r>
      <w:r w:rsidR="00E90606" w:rsidRPr="00AC116E">
        <w:rPr>
          <w:rFonts w:ascii="Times New Roman" w:hAnsi="Times New Roman" w:cs="Times New Roman"/>
          <w:i w:val="0"/>
          <w:color w:val="auto"/>
          <w:sz w:val="24"/>
          <w:szCs w:val="24"/>
        </w:rPr>
        <w:t>.</w:t>
      </w:r>
      <w:r w:rsidR="00E90606" w:rsidRPr="00497DE8">
        <w:rPr>
          <w:rFonts w:ascii="Times New Roman" w:hAnsi="Times New Roman" w:cs="Times New Roman"/>
          <w:i w:val="0"/>
          <w:color w:val="auto"/>
          <w:sz w:val="24"/>
          <w:szCs w:val="24"/>
        </w:rPr>
        <w:t xml:space="preserve">  Environmental and its associated variables used in Maxent modelling and their percentage contribution in the model.</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027"/>
        <w:gridCol w:w="670"/>
        <w:gridCol w:w="1831"/>
        <w:gridCol w:w="1702"/>
      </w:tblGrid>
      <w:tr w:rsidR="00E90606" w:rsidRPr="00497DE8" w:rsidTr="00E50FF3">
        <w:trPr>
          <w:trHeight w:val="442"/>
          <w:jc w:val="center"/>
        </w:trPr>
        <w:tc>
          <w:tcPr>
            <w:tcW w:w="850" w:type="dxa"/>
            <w:tcBorders>
              <w:top w:val="single" w:sz="4" w:space="0" w:color="auto"/>
            </w:tcBorders>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
                <w:bCs/>
                <w:iCs/>
                <w:sz w:val="24"/>
                <w:szCs w:val="24"/>
              </w:rPr>
              <w:t>Code</w:t>
            </w:r>
          </w:p>
        </w:tc>
        <w:tc>
          <w:tcPr>
            <w:tcW w:w="4027" w:type="dxa"/>
            <w:tcBorders>
              <w:top w:val="single" w:sz="4" w:space="0" w:color="auto"/>
            </w:tcBorders>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
                <w:bCs/>
                <w:iCs/>
                <w:sz w:val="24"/>
                <w:szCs w:val="24"/>
              </w:rPr>
              <w:t>Environmental variables</w:t>
            </w:r>
          </w:p>
        </w:tc>
        <w:tc>
          <w:tcPr>
            <w:tcW w:w="670" w:type="dxa"/>
            <w:tcBorders>
              <w:top w:val="single" w:sz="4" w:space="0" w:color="auto"/>
            </w:tcBorders>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
                <w:bCs/>
                <w:iCs/>
                <w:sz w:val="24"/>
                <w:szCs w:val="24"/>
              </w:rPr>
              <w:t>Unit</w:t>
            </w:r>
          </w:p>
        </w:tc>
        <w:tc>
          <w:tcPr>
            <w:tcW w:w="1831" w:type="dxa"/>
            <w:tcBorders>
              <w:top w:val="single" w:sz="4" w:space="0" w:color="auto"/>
            </w:tcBorders>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
                <w:bCs/>
                <w:iCs/>
                <w:sz w:val="24"/>
                <w:szCs w:val="24"/>
              </w:rPr>
            </w:pPr>
            <w:r w:rsidRPr="00497DE8">
              <w:rPr>
                <w:rFonts w:ascii="Times New Roman" w:eastAsia="Calibri" w:hAnsi="Times New Roman" w:cs="Times New Roman"/>
                <w:b/>
                <w:bCs/>
                <w:iCs/>
                <w:sz w:val="24"/>
                <w:szCs w:val="24"/>
              </w:rPr>
              <w:t>Percentage</w:t>
            </w:r>
          </w:p>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
                <w:bCs/>
                <w:iCs/>
                <w:sz w:val="24"/>
                <w:szCs w:val="24"/>
              </w:rPr>
            </w:pPr>
            <w:r w:rsidRPr="00497DE8">
              <w:rPr>
                <w:rFonts w:ascii="Times New Roman" w:eastAsia="Calibri" w:hAnsi="Times New Roman" w:cs="Times New Roman"/>
                <w:b/>
                <w:bCs/>
                <w:iCs/>
                <w:sz w:val="24"/>
                <w:szCs w:val="24"/>
              </w:rPr>
              <w:t>Contribution</w:t>
            </w:r>
          </w:p>
        </w:tc>
        <w:tc>
          <w:tcPr>
            <w:tcW w:w="1702" w:type="dxa"/>
            <w:tcBorders>
              <w:top w:val="single" w:sz="4" w:space="0" w:color="auto"/>
            </w:tcBorders>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
                <w:bCs/>
                <w:iCs/>
                <w:sz w:val="24"/>
                <w:szCs w:val="24"/>
              </w:rPr>
            </w:pPr>
            <w:r w:rsidRPr="00497DE8">
              <w:rPr>
                <w:rFonts w:ascii="Times New Roman" w:eastAsia="Calibri" w:hAnsi="Times New Roman" w:cs="Times New Roman"/>
                <w:b/>
                <w:bCs/>
                <w:iCs/>
                <w:sz w:val="24"/>
                <w:szCs w:val="24"/>
              </w:rPr>
              <w:t>Percentage</w:t>
            </w:r>
          </w:p>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
                <w:bCs/>
                <w:iCs/>
                <w:sz w:val="24"/>
                <w:szCs w:val="24"/>
              </w:rPr>
            </w:pPr>
            <w:r w:rsidRPr="00497DE8">
              <w:rPr>
                <w:rFonts w:ascii="Times New Roman" w:eastAsia="Calibri" w:hAnsi="Times New Roman" w:cs="Times New Roman"/>
                <w:b/>
                <w:bCs/>
                <w:iCs/>
                <w:sz w:val="24"/>
                <w:szCs w:val="24"/>
              </w:rPr>
              <w:t>permutation</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Annual mean temperature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9.7</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88"/>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Bio2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Mean diurnal range (mean of monthly max. and min. temp.)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13</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38.7</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Bio3 </w:t>
            </w:r>
          </w:p>
        </w:tc>
        <w:tc>
          <w:tcPr>
            <w:tcW w:w="4027"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Isothermality ((Bio2/Bio7) × 100)*</w:t>
            </w:r>
          </w:p>
        </w:tc>
        <w:tc>
          <w:tcPr>
            <w:tcW w:w="67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19</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16.2</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Bio4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Temperature seasonality (standard deviation ×100)</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Bio5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Maximum temperature of warmest month*</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6.8</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Bio6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Minimum temperature of coldest month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Bio7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Temperature annual range (Bio5–Bio6)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Bio8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Mean temperature of wettest quarter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1.3</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Bio9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Mean temperature of driest quarter*</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Bio10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Mean temperature of warmest quarter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2.3</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Bio11</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Mean temperature of coldest quarter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◦C</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30.7</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14.1</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Bio12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Annual precipitation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Bio13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Precipitation of wettest period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1.2</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Bio14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Precipitation of driest period*</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Bio15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Precipitation seasonality*</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7.7</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4.9</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Bio16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Precipitation of wettest quarter</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5.4</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13.8</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Bio17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Precipitation of driest quarter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2.4</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11.9</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 xml:space="preserve">Bio18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Precipitation of warmest quarter   </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c>
          <w:tcPr>
            <w:tcW w:w="1702" w:type="dxa"/>
            <w:shd w:val="clear" w:color="auto" w:fill="auto"/>
          </w:tcPr>
          <w:p w:rsidR="00E90606" w:rsidRPr="00497DE8" w:rsidRDefault="00E90606" w:rsidP="00E50FF3">
            <w:pPr>
              <w:autoSpaceDE w:val="0"/>
              <w:autoSpaceDN w:val="0"/>
              <w:adjustRightInd w:val="0"/>
              <w:spacing w:after="0" w:line="360" w:lineRule="auto"/>
              <w:jc w:val="center"/>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0</w:t>
            </w:r>
          </w:p>
        </w:tc>
      </w:tr>
      <w:tr w:rsidR="00E90606" w:rsidRPr="00497DE8" w:rsidTr="00E50FF3">
        <w:trPr>
          <w:trHeight w:val="442"/>
          <w:jc w:val="center"/>
        </w:trPr>
        <w:tc>
          <w:tcPr>
            <w:tcW w:w="850" w:type="dxa"/>
            <w:shd w:val="clear" w:color="auto" w:fill="auto"/>
            <w:hideMark/>
          </w:tcPr>
          <w:p w:rsidR="00E90606" w:rsidRPr="00497DE8" w:rsidRDefault="00E90606" w:rsidP="00E50FF3">
            <w:pPr>
              <w:autoSpaceDE w:val="0"/>
              <w:autoSpaceDN w:val="0"/>
              <w:adjustRightInd w:val="0"/>
              <w:spacing w:after="0" w:line="360" w:lineRule="auto"/>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 xml:space="preserve">Bio19 </w:t>
            </w:r>
          </w:p>
        </w:tc>
        <w:tc>
          <w:tcPr>
            <w:tcW w:w="4027"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iCs/>
                <w:sz w:val="24"/>
                <w:szCs w:val="24"/>
              </w:rPr>
            </w:pPr>
            <w:r w:rsidRPr="00497DE8">
              <w:rPr>
                <w:rFonts w:ascii="Times New Roman" w:eastAsia="Calibri" w:hAnsi="Times New Roman" w:cs="Times New Roman"/>
                <w:iCs/>
                <w:sz w:val="24"/>
                <w:szCs w:val="24"/>
              </w:rPr>
              <w:t>Precipitation of coldest quarter*</w:t>
            </w:r>
          </w:p>
        </w:tc>
        <w:tc>
          <w:tcPr>
            <w:tcW w:w="670" w:type="dxa"/>
            <w:shd w:val="clear" w:color="auto" w:fill="auto"/>
            <w:hideMark/>
          </w:tcPr>
          <w:p w:rsidR="00E90606" w:rsidRPr="00497DE8" w:rsidRDefault="00E90606" w:rsidP="00E50FF3">
            <w:pPr>
              <w:autoSpaceDE w:val="0"/>
              <w:autoSpaceDN w:val="0"/>
              <w:adjustRightInd w:val="0"/>
              <w:spacing w:after="0" w:line="360" w:lineRule="auto"/>
              <w:jc w:val="both"/>
              <w:rPr>
                <w:rFonts w:ascii="Times New Roman" w:eastAsia="Calibri" w:hAnsi="Times New Roman" w:cs="Times New Roman"/>
                <w:bCs/>
                <w:iCs/>
                <w:sz w:val="24"/>
                <w:szCs w:val="24"/>
              </w:rPr>
            </w:pPr>
            <w:r w:rsidRPr="00497DE8">
              <w:rPr>
                <w:rFonts w:ascii="Times New Roman" w:eastAsia="Calibri" w:hAnsi="Times New Roman" w:cs="Times New Roman"/>
                <w:bCs/>
                <w:iCs/>
                <w:sz w:val="24"/>
                <w:szCs w:val="24"/>
              </w:rPr>
              <w:t>mm</w:t>
            </w:r>
          </w:p>
        </w:tc>
        <w:tc>
          <w:tcPr>
            <w:tcW w:w="1831" w:type="dxa"/>
            <w:shd w:val="clear" w:color="auto" w:fill="auto"/>
          </w:tcPr>
          <w:p w:rsidR="00E90606" w:rsidRPr="00497DE8" w:rsidRDefault="00E90606" w:rsidP="00E50FF3">
            <w:pPr>
              <w:spacing w:after="0" w:line="360" w:lineRule="auto"/>
              <w:jc w:val="center"/>
              <w:rPr>
                <w:rFonts w:ascii="Times New Roman" w:eastAsia="Calibri" w:hAnsi="Times New Roman" w:cs="Times New Roman"/>
                <w:bCs/>
                <w:sz w:val="24"/>
                <w:szCs w:val="24"/>
              </w:rPr>
            </w:pPr>
            <w:r w:rsidRPr="00497DE8">
              <w:rPr>
                <w:rFonts w:ascii="Times New Roman" w:eastAsia="Calibri" w:hAnsi="Times New Roman" w:cs="Times New Roman"/>
                <w:bCs/>
                <w:sz w:val="24"/>
                <w:szCs w:val="24"/>
              </w:rPr>
              <w:t>0.5</w:t>
            </w:r>
          </w:p>
        </w:tc>
        <w:tc>
          <w:tcPr>
            <w:tcW w:w="1702" w:type="dxa"/>
            <w:shd w:val="clear" w:color="auto" w:fill="auto"/>
          </w:tcPr>
          <w:p w:rsidR="00E90606" w:rsidRPr="00497DE8" w:rsidRDefault="00E90606" w:rsidP="00E50FF3">
            <w:pPr>
              <w:spacing w:after="0" w:line="360" w:lineRule="auto"/>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0.5</w:t>
            </w:r>
          </w:p>
        </w:tc>
      </w:tr>
    </w:tbl>
    <w:p w:rsidR="00E90606" w:rsidRPr="00497DE8" w:rsidRDefault="00E90606" w:rsidP="00E90606">
      <w:pPr>
        <w:rPr>
          <w:rFonts w:ascii="Times New Roman" w:hAnsi="Times New Roman" w:cs="Times New Roman"/>
          <w:sz w:val="24"/>
          <w:szCs w:val="24"/>
        </w:rPr>
      </w:pPr>
    </w:p>
    <w:p w:rsidR="00E90606" w:rsidRPr="00497DE8" w:rsidRDefault="00E90606" w:rsidP="00E90606">
      <w:pPr>
        <w:rPr>
          <w:rFonts w:ascii="Times New Roman" w:hAnsi="Times New Roman" w:cs="Times New Roman"/>
          <w:sz w:val="24"/>
          <w:szCs w:val="24"/>
        </w:rPr>
      </w:pPr>
      <w:r w:rsidRPr="00497DE8">
        <w:rPr>
          <w:rFonts w:ascii="Times New Roman" w:hAnsi="Times New Roman" w:cs="Times New Roman"/>
          <w:sz w:val="24"/>
          <w:szCs w:val="24"/>
        </w:rPr>
        <w:br w:type="page"/>
      </w:r>
    </w:p>
    <w:p w:rsidR="00E72002" w:rsidRPr="00E376DE" w:rsidRDefault="00E72002" w:rsidP="0045799A">
      <w:pPr>
        <w:jc w:val="center"/>
        <w:rPr>
          <w:rFonts w:ascii="Times New Roman" w:hAnsi="Times New Roman" w:cs="Times New Roman"/>
          <w:b/>
          <w:noProof/>
          <w:sz w:val="24"/>
          <w:szCs w:val="24"/>
          <w:lang w:val="en-US"/>
        </w:rPr>
      </w:pPr>
    </w:p>
    <w:p w:rsidR="000263D4" w:rsidRPr="00E376DE" w:rsidRDefault="007F6A9D" w:rsidP="000263D4">
      <w:pPr>
        <w:pStyle w:val="Caption"/>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Appendix S3</w:t>
      </w:r>
      <w:r w:rsidR="000263D4" w:rsidRPr="00AC116E">
        <w:rPr>
          <w:rFonts w:ascii="Times New Roman" w:hAnsi="Times New Roman" w:cs="Times New Roman"/>
          <w:i w:val="0"/>
          <w:color w:val="auto"/>
          <w:sz w:val="24"/>
          <w:szCs w:val="24"/>
        </w:rPr>
        <w:t>.</w:t>
      </w:r>
      <w:r w:rsidR="000263D4" w:rsidRPr="00E376DE">
        <w:rPr>
          <w:rFonts w:ascii="Times New Roman" w:hAnsi="Times New Roman" w:cs="Times New Roman"/>
          <w:i w:val="0"/>
          <w:color w:val="auto"/>
          <w:sz w:val="24"/>
          <w:szCs w:val="24"/>
        </w:rPr>
        <w:t xml:space="preserve"> Details of data used in the study</w:t>
      </w:r>
    </w:p>
    <w:tbl>
      <w:tblPr>
        <w:tblStyle w:val="TableGrid"/>
        <w:tblW w:w="9636" w:type="dxa"/>
        <w:jc w:val="center"/>
        <w:tblLayout w:type="fixed"/>
        <w:tblLook w:val="04A0" w:firstRow="1" w:lastRow="0" w:firstColumn="1" w:lastColumn="0" w:noHBand="0" w:noVBand="1"/>
      </w:tblPr>
      <w:tblGrid>
        <w:gridCol w:w="1536"/>
        <w:gridCol w:w="1350"/>
        <w:gridCol w:w="1350"/>
        <w:gridCol w:w="1350"/>
        <w:gridCol w:w="1350"/>
        <w:gridCol w:w="1350"/>
        <w:gridCol w:w="1350"/>
      </w:tblGrid>
      <w:tr w:rsidR="00E72002" w:rsidRPr="00E376DE" w:rsidTr="00F5007E">
        <w:trPr>
          <w:trHeight w:val="404"/>
          <w:jc w:val="center"/>
        </w:trPr>
        <w:tc>
          <w:tcPr>
            <w:tcW w:w="1536" w:type="dxa"/>
            <w:tcBorders>
              <w:top w:val="single" w:sz="4" w:space="0" w:color="auto"/>
            </w:tcBorders>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Year</w:t>
            </w:r>
          </w:p>
        </w:tc>
        <w:tc>
          <w:tcPr>
            <w:tcW w:w="2700" w:type="dxa"/>
            <w:gridSpan w:val="2"/>
            <w:tcBorders>
              <w:top w:val="single" w:sz="4" w:space="0" w:color="auto"/>
            </w:tcBorders>
            <w:vAlign w:val="center"/>
          </w:tcPr>
          <w:p w:rsidR="00E72002" w:rsidRPr="00E376DE" w:rsidRDefault="00E72002" w:rsidP="00F5007E">
            <w:pPr>
              <w:jc w:val="center"/>
              <w:rPr>
                <w:rFonts w:ascii="Times New Roman" w:hAnsi="Times New Roman" w:cs="Times New Roman"/>
                <w:b/>
                <w:sz w:val="24"/>
                <w:szCs w:val="24"/>
              </w:rPr>
            </w:pPr>
            <w:r w:rsidRPr="00E376DE">
              <w:rPr>
                <w:rFonts w:ascii="Times New Roman" w:hAnsi="Times New Roman" w:cs="Times New Roman"/>
                <w:b/>
                <w:sz w:val="24"/>
                <w:szCs w:val="24"/>
              </w:rPr>
              <w:t>1998</w:t>
            </w:r>
          </w:p>
        </w:tc>
        <w:tc>
          <w:tcPr>
            <w:tcW w:w="2700" w:type="dxa"/>
            <w:gridSpan w:val="2"/>
            <w:tcBorders>
              <w:top w:val="single" w:sz="4" w:space="0" w:color="auto"/>
            </w:tcBorders>
            <w:vAlign w:val="center"/>
          </w:tcPr>
          <w:p w:rsidR="00E72002" w:rsidRPr="00E376DE" w:rsidRDefault="00E72002" w:rsidP="00F5007E">
            <w:pPr>
              <w:jc w:val="center"/>
              <w:rPr>
                <w:rFonts w:ascii="Times New Roman" w:hAnsi="Times New Roman" w:cs="Times New Roman"/>
                <w:b/>
                <w:sz w:val="24"/>
                <w:szCs w:val="24"/>
              </w:rPr>
            </w:pPr>
            <w:r w:rsidRPr="00E376DE">
              <w:rPr>
                <w:rFonts w:ascii="Times New Roman" w:hAnsi="Times New Roman" w:cs="Times New Roman"/>
                <w:b/>
                <w:sz w:val="24"/>
                <w:szCs w:val="24"/>
              </w:rPr>
              <w:t>2008</w:t>
            </w:r>
          </w:p>
        </w:tc>
        <w:tc>
          <w:tcPr>
            <w:tcW w:w="2700" w:type="dxa"/>
            <w:gridSpan w:val="2"/>
            <w:tcBorders>
              <w:top w:val="single" w:sz="4" w:space="0" w:color="auto"/>
            </w:tcBorders>
            <w:vAlign w:val="center"/>
          </w:tcPr>
          <w:p w:rsidR="00E72002" w:rsidRPr="00E376DE" w:rsidRDefault="00E72002" w:rsidP="00F5007E">
            <w:pPr>
              <w:jc w:val="center"/>
              <w:rPr>
                <w:rFonts w:ascii="Times New Roman" w:hAnsi="Times New Roman" w:cs="Times New Roman"/>
                <w:b/>
                <w:sz w:val="24"/>
                <w:szCs w:val="24"/>
              </w:rPr>
            </w:pPr>
            <w:r w:rsidRPr="00E376DE">
              <w:rPr>
                <w:rFonts w:ascii="Times New Roman" w:hAnsi="Times New Roman" w:cs="Times New Roman"/>
                <w:b/>
                <w:sz w:val="24"/>
                <w:szCs w:val="24"/>
              </w:rPr>
              <w:t>2018</w:t>
            </w:r>
          </w:p>
        </w:tc>
      </w:tr>
      <w:tr w:rsidR="00E72002" w:rsidRPr="00E376DE" w:rsidTr="00F5007E">
        <w:trPr>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Satellite Data</w:t>
            </w:r>
          </w:p>
        </w:tc>
        <w:tc>
          <w:tcPr>
            <w:tcW w:w="2700" w:type="dxa"/>
            <w:gridSpan w:val="2"/>
            <w:vAlign w:val="center"/>
          </w:tcPr>
          <w:p w:rsidR="00E72002" w:rsidRPr="00E376DE" w:rsidRDefault="00E72002" w:rsidP="00F5007E">
            <w:pPr>
              <w:jc w:val="center"/>
              <w:rPr>
                <w:rFonts w:ascii="Times New Roman" w:hAnsi="Times New Roman" w:cs="Times New Roman"/>
                <w:sz w:val="24"/>
                <w:szCs w:val="24"/>
              </w:rPr>
            </w:pPr>
            <w:r w:rsidRPr="00E376DE">
              <w:rPr>
                <w:rFonts w:ascii="Times New Roman" w:hAnsi="Times New Roman" w:cs="Times New Roman"/>
                <w:sz w:val="24"/>
                <w:szCs w:val="24"/>
              </w:rPr>
              <w:t>Landsat 5 TM</w:t>
            </w:r>
          </w:p>
        </w:tc>
        <w:tc>
          <w:tcPr>
            <w:tcW w:w="2700" w:type="dxa"/>
            <w:gridSpan w:val="2"/>
            <w:vAlign w:val="center"/>
          </w:tcPr>
          <w:p w:rsidR="00E72002" w:rsidRPr="00E376DE" w:rsidRDefault="00E72002" w:rsidP="00F5007E">
            <w:pPr>
              <w:jc w:val="center"/>
              <w:rPr>
                <w:rFonts w:ascii="Times New Roman" w:hAnsi="Times New Roman" w:cs="Times New Roman"/>
                <w:sz w:val="24"/>
                <w:szCs w:val="24"/>
              </w:rPr>
            </w:pPr>
            <w:r w:rsidRPr="00E376DE">
              <w:rPr>
                <w:rFonts w:ascii="Times New Roman" w:hAnsi="Times New Roman" w:cs="Times New Roman"/>
                <w:sz w:val="24"/>
                <w:szCs w:val="24"/>
              </w:rPr>
              <w:t>Landsat 5 TM</w:t>
            </w:r>
          </w:p>
        </w:tc>
        <w:tc>
          <w:tcPr>
            <w:tcW w:w="2700" w:type="dxa"/>
            <w:gridSpan w:val="2"/>
            <w:vAlign w:val="center"/>
          </w:tcPr>
          <w:p w:rsidR="00E72002" w:rsidRPr="00E376DE" w:rsidRDefault="00E72002" w:rsidP="00F5007E">
            <w:pPr>
              <w:jc w:val="center"/>
              <w:rPr>
                <w:rFonts w:ascii="Times New Roman" w:hAnsi="Times New Roman" w:cs="Times New Roman"/>
                <w:sz w:val="24"/>
                <w:szCs w:val="24"/>
              </w:rPr>
            </w:pPr>
            <w:r w:rsidRPr="00E376DE">
              <w:rPr>
                <w:rFonts w:ascii="Times New Roman" w:hAnsi="Times New Roman" w:cs="Times New Roman"/>
                <w:sz w:val="24"/>
                <w:szCs w:val="24"/>
              </w:rPr>
              <w:t>Landsat 8 OLI</w:t>
            </w:r>
          </w:p>
        </w:tc>
      </w:tr>
      <w:tr w:rsidR="00E72002" w:rsidRPr="00E376DE" w:rsidTr="00F5007E">
        <w:trPr>
          <w:trHeight w:val="368"/>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Path/Row</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134/41</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135/41</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134/41</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135/41</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134/41</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135/41</w:t>
            </w:r>
          </w:p>
        </w:tc>
      </w:tr>
      <w:tr w:rsidR="00E72002" w:rsidRPr="00E376DE" w:rsidTr="00F5007E">
        <w:trPr>
          <w:trHeight w:val="350"/>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Resolution</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30m</w:t>
            </w:r>
          </w:p>
        </w:tc>
      </w:tr>
      <w:tr w:rsidR="00E72002" w:rsidRPr="00E376DE" w:rsidTr="00F5007E">
        <w:trPr>
          <w:trHeight w:val="341"/>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Date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26/12/1998</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17/12/1998</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21/02/2008</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28/02/2008</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16/02/2018</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22/01/2018</w:t>
            </w:r>
          </w:p>
        </w:tc>
      </w:tr>
      <w:tr w:rsidR="00E72002" w:rsidRPr="00E376DE" w:rsidTr="00F5007E">
        <w:trPr>
          <w:trHeight w:val="404"/>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Bands Used</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5, 4, 3</w:t>
            </w:r>
          </w:p>
        </w:tc>
      </w:tr>
      <w:tr w:rsidR="00E72002" w:rsidRPr="00E376DE" w:rsidTr="00F5007E">
        <w:trPr>
          <w:jc w:val="center"/>
        </w:trPr>
        <w:tc>
          <w:tcPr>
            <w:tcW w:w="1536" w:type="dxa"/>
            <w:vAlign w:val="center"/>
          </w:tcPr>
          <w:p w:rsidR="00E72002" w:rsidRPr="00E376DE" w:rsidRDefault="00E72002" w:rsidP="00F5007E">
            <w:pPr>
              <w:rPr>
                <w:rFonts w:ascii="Times New Roman" w:hAnsi="Times New Roman" w:cs="Times New Roman"/>
                <w:b/>
                <w:sz w:val="24"/>
                <w:szCs w:val="24"/>
              </w:rPr>
            </w:pPr>
            <w:r w:rsidRPr="00E376DE">
              <w:rPr>
                <w:rFonts w:ascii="Times New Roman" w:hAnsi="Times New Roman" w:cs="Times New Roman"/>
                <w:b/>
                <w:sz w:val="24"/>
                <w:szCs w:val="24"/>
              </w:rPr>
              <w:t>Atmospheric correction</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c>
          <w:tcPr>
            <w:tcW w:w="1350" w:type="dxa"/>
          </w:tcPr>
          <w:p w:rsidR="00E72002" w:rsidRPr="00E376DE" w:rsidRDefault="00E72002" w:rsidP="003D5DB4">
            <w:pPr>
              <w:rPr>
                <w:rFonts w:ascii="Times New Roman" w:hAnsi="Times New Roman" w:cs="Times New Roman"/>
                <w:sz w:val="24"/>
                <w:szCs w:val="24"/>
              </w:rPr>
            </w:pPr>
            <w:r w:rsidRPr="00E376DE">
              <w:rPr>
                <w:rFonts w:ascii="Times New Roman" w:hAnsi="Times New Roman" w:cs="Times New Roman"/>
                <w:sz w:val="24"/>
                <w:szCs w:val="24"/>
              </w:rPr>
              <w:t>Done</w:t>
            </w:r>
          </w:p>
        </w:tc>
      </w:tr>
    </w:tbl>
    <w:p w:rsidR="00E72002" w:rsidRPr="00E376DE" w:rsidRDefault="00E72002" w:rsidP="0045799A">
      <w:pPr>
        <w:jc w:val="center"/>
        <w:rPr>
          <w:rFonts w:ascii="Times New Roman" w:hAnsi="Times New Roman" w:cs="Times New Roman"/>
          <w:b/>
          <w:noProof/>
          <w:sz w:val="24"/>
          <w:szCs w:val="24"/>
          <w:lang w:val="en-US"/>
        </w:rPr>
      </w:pPr>
    </w:p>
    <w:p w:rsidR="00974C01" w:rsidRPr="00E376DE" w:rsidRDefault="00974C01" w:rsidP="0045799A">
      <w:pPr>
        <w:jc w:val="center"/>
        <w:rPr>
          <w:rFonts w:ascii="Times New Roman" w:hAnsi="Times New Roman" w:cs="Times New Roman"/>
          <w:b/>
          <w:noProof/>
          <w:sz w:val="24"/>
          <w:szCs w:val="24"/>
          <w:lang w:val="en-US"/>
        </w:rPr>
      </w:pPr>
    </w:p>
    <w:p w:rsidR="000263D4" w:rsidRPr="00E376DE" w:rsidRDefault="00A76C49" w:rsidP="000263D4">
      <w:pPr>
        <w:pStyle w:val="Caption"/>
        <w:keepNext/>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t>Appendix S</w:t>
      </w:r>
      <w:r w:rsidR="007F6A9D">
        <w:rPr>
          <w:rFonts w:ascii="Times New Roman" w:hAnsi="Times New Roman" w:cs="Times New Roman"/>
          <w:i w:val="0"/>
          <w:color w:val="auto"/>
          <w:sz w:val="24"/>
          <w:szCs w:val="24"/>
        </w:rPr>
        <w:t>4</w:t>
      </w:r>
      <w:r w:rsidR="000263D4" w:rsidRPr="00AC116E">
        <w:rPr>
          <w:rFonts w:ascii="Times New Roman" w:hAnsi="Times New Roman" w:cs="Times New Roman"/>
          <w:i w:val="0"/>
          <w:color w:val="auto"/>
          <w:sz w:val="24"/>
          <w:szCs w:val="24"/>
        </w:rPr>
        <w:t>.</w:t>
      </w:r>
      <w:r w:rsidR="000263D4" w:rsidRPr="00E376DE">
        <w:rPr>
          <w:rFonts w:ascii="Times New Roman" w:hAnsi="Times New Roman" w:cs="Times New Roman"/>
          <w:i w:val="0"/>
          <w:color w:val="auto"/>
          <w:sz w:val="24"/>
          <w:szCs w:val="24"/>
        </w:rPr>
        <w:t xml:space="preserve"> </w:t>
      </w:r>
      <w:r w:rsidR="00C35379">
        <w:rPr>
          <w:rFonts w:ascii="Times New Roman" w:hAnsi="Times New Roman" w:cs="Times New Roman"/>
          <w:i w:val="0"/>
          <w:color w:val="auto"/>
          <w:sz w:val="24"/>
          <w:szCs w:val="24"/>
        </w:rPr>
        <w:t>Land use land cover c</w:t>
      </w:r>
      <w:r w:rsidR="000263D4" w:rsidRPr="00E376DE">
        <w:rPr>
          <w:rFonts w:ascii="Times New Roman" w:hAnsi="Times New Roman" w:cs="Times New Roman"/>
          <w:i w:val="0"/>
          <w:color w:val="auto"/>
          <w:sz w:val="24"/>
          <w:szCs w:val="24"/>
        </w:rPr>
        <w:t>lassification scheme used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1398"/>
        <w:gridCol w:w="7007"/>
      </w:tblGrid>
      <w:tr w:rsidR="00F46944" w:rsidRPr="00E376DE" w:rsidTr="00646EC7">
        <w:trPr>
          <w:trHeight w:val="548"/>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b/>
                <w:sz w:val="24"/>
                <w:szCs w:val="24"/>
              </w:rPr>
            </w:pPr>
            <w:r w:rsidRPr="00E376DE">
              <w:rPr>
                <w:rFonts w:ascii="Times New Roman" w:hAnsi="Times New Roman" w:cs="Times New Roman"/>
                <w:b/>
                <w:sz w:val="24"/>
                <w:szCs w:val="24"/>
              </w:rPr>
              <w:t>Sl/No.</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b/>
                <w:sz w:val="24"/>
                <w:szCs w:val="24"/>
              </w:rPr>
            </w:pPr>
            <w:r w:rsidRPr="00E376DE">
              <w:rPr>
                <w:rFonts w:ascii="Times New Roman" w:hAnsi="Times New Roman" w:cs="Times New Roman"/>
                <w:b/>
                <w:sz w:val="24"/>
                <w:szCs w:val="24"/>
              </w:rPr>
              <w:t>Class</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b/>
                <w:sz w:val="24"/>
                <w:szCs w:val="24"/>
              </w:rPr>
            </w:pPr>
            <w:r w:rsidRPr="00E376DE">
              <w:rPr>
                <w:rFonts w:ascii="Times New Roman" w:hAnsi="Times New Roman" w:cs="Times New Roman"/>
                <w:b/>
                <w:sz w:val="24"/>
                <w:szCs w:val="24"/>
              </w:rPr>
              <w:t>Description</w:t>
            </w:r>
          </w:p>
        </w:tc>
      </w:tr>
      <w:tr w:rsidR="00F46944" w:rsidRPr="00E376DE" w:rsidTr="00646EC7">
        <w:trPr>
          <w:trHeight w:val="458"/>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1.</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Forest</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Areas under dense, open forest and scrublands</w:t>
            </w:r>
          </w:p>
        </w:tc>
      </w:tr>
      <w:tr w:rsidR="00F46944" w:rsidRPr="00E376DE" w:rsidTr="00646EC7">
        <w:trPr>
          <w:trHeight w:val="422"/>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2.</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Settlement</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Areas under urban and rural built-up including homestead area</w:t>
            </w:r>
          </w:p>
        </w:tc>
      </w:tr>
      <w:tr w:rsidR="00F46944" w:rsidRPr="00E376DE" w:rsidTr="00646EC7">
        <w:trPr>
          <w:trHeight w:val="710"/>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3.</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Sandbar</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Sandbars and other sand deposition areas including both dry and wet sand areas</w:t>
            </w:r>
          </w:p>
        </w:tc>
      </w:tr>
      <w:tr w:rsidR="00F46944" w:rsidRPr="00E376DE" w:rsidTr="00646EC7">
        <w:trPr>
          <w:trHeight w:val="440"/>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4.</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Agriculture</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Areas under cultivation including current fallow areas</w:t>
            </w:r>
          </w:p>
        </w:tc>
      </w:tr>
      <w:tr w:rsidR="00F46944" w:rsidRPr="00E376DE" w:rsidTr="00646EC7">
        <w:trPr>
          <w:trHeight w:val="710"/>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5.</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Grassland</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Areas dominated by grasses including vegetated sandbars and grazing areas</w:t>
            </w:r>
          </w:p>
        </w:tc>
      </w:tr>
      <w:tr w:rsidR="00F46944" w:rsidRPr="00E376DE" w:rsidTr="00646EC7">
        <w:trPr>
          <w:trHeight w:val="710"/>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6.</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Plantation</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Forest and agricultural plantations like orchards and tea gardens with significant patterns</w:t>
            </w:r>
          </w:p>
        </w:tc>
      </w:tr>
      <w:tr w:rsidR="00F46944" w:rsidRPr="00E376DE" w:rsidTr="00646EC7">
        <w:trPr>
          <w:trHeight w:val="440"/>
        </w:trPr>
        <w:tc>
          <w:tcPr>
            <w:tcW w:w="83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7.</w:t>
            </w:r>
          </w:p>
        </w:tc>
        <w:tc>
          <w:tcPr>
            <w:tcW w:w="1398"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eastAsia="Times New Roman" w:hAnsi="Times New Roman" w:cs="Times New Roman"/>
                <w:bCs/>
                <w:color w:val="000000"/>
                <w:sz w:val="24"/>
                <w:szCs w:val="24"/>
                <w:lang w:eastAsia="en-IN"/>
              </w:rPr>
            </w:pPr>
            <w:r w:rsidRPr="00E376DE">
              <w:rPr>
                <w:rFonts w:ascii="Times New Roman" w:eastAsia="Times New Roman" w:hAnsi="Times New Roman" w:cs="Times New Roman"/>
                <w:bCs/>
                <w:color w:val="000000"/>
                <w:sz w:val="24"/>
                <w:szCs w:val="24"/>
                <w:lang w:eastAsia="en-IN"/>
              </w:rPr>
              <w:t>Water</w:t>
            </w:r>
          </w:p>
        </w:tc>
        <w:tc>
          <w:tcPr>
            <w:tcW w:w="7007" w:type="dxa"/>
            <w:tcBorders>
              <w:top w:val="single" w:sz="4" w:space="0" w:color="auto"/>
              <w:bottom w:val="single" w:sz="4" w:space="0" w:color="auto"/>
            </w:tcBorders>
            <w:vAlign w:val="center"/>
          </w:tcPr>
          <w:p w:rsidR="00F46944" w:rsidRPr="00E376DE" w:rsidRDefault="00F46944" w:rsidP="00646EC7">
            <w:pPr>
              <w:spacing w:line="276" w:lineRule="auto"/>
              <w:rPr>
                <w:rFonts w:ascii="Times New Roman" w:hAnsi="Times New Roman" w:cs="Times New Roman"/>
                <w:sz w:val="24"/>
                <w:szCs w:val="24"/>
              </w:rPr>
            </w:pPr>
            <w:r w:rsidRPr="00E376DE">
              <w:rPr>
                <w:rFonts w:ascii="Times New Roman" w:hAnsi="Times New Roman" w:cs="Times New Roman"/>
                <w:sz w:val="24"/>
                <w:szCs w:val="24"/>
              </w:rPr>
              <w:t>Water features such as river, stream, lakes and reservoirs.</w:t>
            </w:r>
          </w:p>
        </w:tc>
      </w:tr>
    </w:tbl>
    <w:p w:rsidR="0083791C" w:rsidRPr="00E376DE" w:rsidRDefault="0083791C" w:rsidP="004612A5">
      <w:pPr>
        <w:rPr>
          <w:rFonts w:ascii="Times New Roman" w:hAnsi="Times New Roman" w:cs="Times New Roman"/>
          <w:b/>
          <w:sz w:val="24"/>
          <w:szCs w:val="24"/>
        </w:rPr>
      </w:pPr>
    </w:p>
    <w:p w:rsidR="005A0849" w:rsidRDefault="005A0849">
      <w:pPr>
        <w:rPr>
          <w:rFonts w:ascii="Times New Roman" w:hAnsi="Times New Roman" w:cs="Times New Roman"/>
          <w:sz w:val="24"/>
          <w:szCs w:val="24"/>
        </w:rPr>
      </w:pPr>
      <w:r>
        <w:rPr>
          <w:rFonts w:ascii="Times New Roman" w:hAnsi="Times New Roman" w:cs="Times New Roman"/>
          <w:sz w:val="24"/>
          <w:szCs w:val="24"/>
        </w:rPr>
        <w:br w:type="page"/>
      </w:r>
    </w:p>
    <w:p w:rsidR="005A0849" w:rsidRDefault="005A0849" w:rsidP="005A0849">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lastRenderedPageBreak/>
        <w:drawing>
          <wp:inline distT="0" distB="0" distL="0" distR="0" wp14:anchorId="040DED7A" wp14:editId="255C01FE">
            <wp:extent cx="6480810" cy="4584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4584700"/>
                    </a:xfrm>
                    <a:prstGeom prst="rect">
                      <a:avLst/>
                    </a:prstGeom>
                    <a:noFill/>
                  </pic:spPr>
                </pic:pic>
              </a:graphicData>
            </a:graphic>
          </wp:inline>
        </w:drawing>
      </w:r>
    </w:p>
    <w:p w:rsidR="005A0849" w:rsidRPr="00F10ABF" w:rsidRDefault="00A76C49" w:rsidP="005A0849">
      <w:pPr>
        <w:spacing w:line="360" w:lineRule="auto"/>
        <w:jc w:val="center"/>
        <w:rPr>
          <w:rFonts w:ascii="Times New Roman" w:eastAsia="Calibri" w:hAnsi="Times New Roman" w:cs="Times New Roman"/>
          <w:sz w:val="24"/>
        </w:rPr>
      </w:pPr>
      <w:r w:rsidRPr="00AC116E">
        <w:rPr>
          <w:rFonts w:ascii="Times New Roman" w:hAnsi="Times New Roman" w:cs="Times New Roman"/>
          <w:sz w:val="24"/>
          <w:szCs w:val="24"/>
        </w:rPr>
        <w:t>Appendix S</w:t>
      </w:r>
      <w:r w:rsidR="007F6A9D">
        <w:rPr>
          <w:rFonts w:ascii="Times New Roman" w:hAnsi="Times New Roman" w:cs="Times New Roman"/>
          <w:sz w:val="24"/>
          <w:szCs w:val="24"/>
        </w:rPr>
        <w:t>5</w:t>
      </w:r>
      <w:r w:rsidR="005A0849" w:rsidRPr="00AC116E">
        <w:rPr>
          <w:rFonts w:ascii="Times New Roman" w:eastAsia="Calibri" w:hAnsi="Times New Roman" w:cs="Times New Roman"/>
          <w:sz w:val="24"/>
        </w:rPr>
        <w:t>.</w:t>
      </w:r>
      <w:r w:rsidR="005A0849" w:rsidRPr="002716E1">
        <w:rPr>
          <w:rFonts w:ascii="Times New Roman" w:eastAsia="Calibri" w:hAnsi="Times New Roman" w:cs="Times New Roman"/>
          <w:sz w:val="24"/>
        </w:rPr>
        <w:t xml:space="preserve"> Change detection maps of the study area [a] 1998, [b] 2008 &amp; [c] 2018</w:t>
      </w:r>
      <w:r w:rsidR="00244076">
        <w:rPr>
          <w:rFonts w:ascii="Times New Roman" w:eastAsia="Calibri" w:hAnsi="Times New Roman" w:cs="Times New Roman"/>
          <w:sz w:val="24"/>
        </w:rPr>
        <w:t xml:space="preserve"> (prepared in ArcGIS 10.3)</w:t>
      </w:r>
      <w:r w:rsidR="00A71F99">
        <w:rPr>
          <w:rFonts w:ascii="Times New Roman" w:eastAsia="Calibri" w:hAnsi="Times New Roman" w:cs="Times New Roman"/>
          <w:sz w:val="24"/>
        </w:rPr>
        <w:t>.</w:t>
      </w:r>
    </w:p>
    <w:p w:rsidR="0096236A" w:rsidRPr="00E376DE" w:rsidRDefault="0096236A" w:rsidP="00292623">
      <w:pPr>
        <w:jc w:val="center"/>
        <w:rPr>
          <w:rFonts w:ascii="Times New Roman" w:hAnsi="Times New Roman" w:cs="Times New Roman"/>
          <w:sz w:val="24"/>
          <w:szCs w:val="24"/>
        </w:rPr>
      </w:pPr>
    </w:p>
    <w:p w:rsidR="000A2F4B" w:rsidRDefault="000A2F4B" w:rsidP="004612A5">
      <w:pPr>
        <w:rPr>
          <w:rFonts w:ascii="Times New Roman" w:hAnsi="Times New Roman" w:cs="Times New Roman"/>
          <w:b/>
          <w:sz w:val="24"/>
          <w:szCs w:val="24"/>
        </w:rPr>
      </w:pPr>
    </w:p>
    <w:p w:rsidR="00773D92" w:rsidRPr="00E376DE" w:rsidRDefault="00773D92" w:rsidP="004612A5">
      <w:pPr>
        <w:rPr>
          <w:rFonts w:ascii="Times New Roman" w:hAnsi="Times New Roman" w:cs="Times New Roman"/>
          <w:b/>
          <w:sz w:val="24"/>
          <w:szCs w:val="24"/>
        </w:rPr>
      </w:pPr>
    </w:p>
    <w:p w:rsidR="003F0ABD" w:rsidRPr="00E376DE" w:rsidRDefault="003F0ABD" w:rsidP="004612A5">
      <w:pPr>
        <w:rPr>
          <w:rFonts w:ascii="Times New Roman" w:hAnsi="Times New Roman" w:cs="Times New Roman"/>
          <w:b/>
          <w:sz w:val="24"/>
          <w:szCs w:val="24"/>
        </w:rPr>
      </w:pPr>
    </w:p>
    <w:p w:rsidR="00773D92" w:rsidRDefault="00773D92" w:rsidP="000263D4">
      <w:pPr>
        <w:pStyle w:val="Caption"/>
        <w:keepNext/>
        <w:rPr>
          <w:rFonts w:ascii="Times New Roman" w:hAnsi="Times New Roman" w:cs="Times New Roman"/>
          <w:i w:val="0"/>
          <w:color w:val="auto"/>
          <w:sz w:val="24"/>
          <w:szCs w:val="24"/>
        </w:rPr>
        <w:sectPr w:rsidR="00773D92" w:rsidSect="00B90298">
          <w:pgSz w:w="11906" w:h="16838"/>
          <w:pgMar w:top="1440" w:right="1440" w:bottom="1440" w:left="1440" w:header="709" w:footer="709" w:gutter="0"/>
          <w:cols w:space="708"/>
          <w:docGrid w:linePitch="360"/>
        </w:sectPr>
      </w:pPr>
    </w:p>
    <w:p w:rsidR="000263D4" w:rsidRPr="00E376DE" w:rsidRDefault="00A76C49" w:rsidP="000B3FC4">
      <w:pPr>
        <w:pStyle w:val="Caption"/>
        <w:keepNext/>
        <w:jc w:val="center"/>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lastRenderedPageBreak/>
        <w:t>Appendix S</w:t>
      </w:r>
      <w:r w:rsidR="007F6A9D">
        <w:rPr>
          <w:rFonts w:ascii="Times New Roman" w:hAnsi="Times New Roman" w:cs="Times New Roman"/>
          <w:i w:val="0"/>
          <w:color w:val="auto"/>
          <w:sz w:val="24"/>
          <w:szCs w:val="24"/>
        </w:rPr>
        <w:t>6</w:t>
      </w:r>
      <w:r w:rsidR="000263D4" w:rsidRPr="00AC116E">
        <w:rPr>
          <w:rFonts w:ascii="Times New Roman" w:hAnsi="Times New Roman" w:cs="Times New Roman"/>
          <w:i w:val="0"/>
          <w:color w:val="auto"/>
          <w:sz w:val="24"/>
          <w:szCs w:val="24"/>
        </w:rPr>
        <w:t>.</w:t>
      </w:r>
      <w:r w:rsidR="000263D4" w:rsidRPr="00E376DE">
        <w:rPr>
          <w:rFonts w:ascii="Times New Roman" w:hAnsi="Times New Roman" w:cs="Times New Roman"/>
          <w:i w:val="0"/>
          <w:color w:val="auto"/>
          <w:sz w:val="24"/>
          <w:szCs w:val="24"/>
        </w:rPr>
        <w:t xml:space="preserve"> Inter-conversion of Land Use Land Cover (LULC) classes between 1998 and 2008</w:t>
      </w:r>
      <w:r w:rsidR="000B3FC4">
        <w:rPr>
          <w:rFonts w:ascii="Times New Roman" w:hAnsi="Times New Roman" w:cs="Times New Roman"/>
          <w:i w:val="0"/>
          <w:color w:val="auto"/>
          <w:sz w:val="24"/>
          <w:szCs w:val="24"/>
        </w:rPr>
        <w:t xml:space="preserve"> </w:t>
      </w:r>
      <w:r w:rsidR="000263D4" w:rsidRPr="00E376DE">
        <w:rPr>
          <w:rFonts w:ascii="Times New Roman" w:hAnsi="Times New Roman" w:cs="Times New Roman"/>
          <w:i w:val="0"/>
          <w:color w:val="auto"/>
          <w:sz w:val="24"/>
          <w:szCs w:val="24"/>
        </w:rPr>
        <w:t>(</w:t>
      </w:r>
      <w:r w:rsidR="00713F5E">
        <w:rPr>
          <w:rFonts w:ascii="Times New Roman" w:hAnsi="Times New Roman" w:cs="Times New Roman"/>
          <w:i w:val="0"/>
          <w:color w:val="auto"/>
          <w:sz w:val="24"/>
          <w:szCs w:val="24"/>
        </w:rPr>
        <w:t>Area</w:t>
      </w:r>
      <w:r w:rsidR="00BE2D88">
        <w:rPr>
          <w:rFonts w:ascii="Times New Roman" w:hAnsi="Times New Roman" w:cs="Times New Roman"/>
          <w:i w:val="0"/>
          <w:color w:val="auto"/>
          <w:sz w:val="24"/>
          <w:szCs w:val="24"/>
        </w:rPr>
        <w:t xml:space="preserve"> in k</w:t>
      </w:r>
      <w:r w:rsidR="000B3FC4">
        <w:rPr>
          <w:rFonts w:ascii="Times New Roman" w:hAnsi="Times New Roman" w:cs="Times New Roman"/>
          <w:i w:val="0"/>
          <w:color w:val="auto"/>
          <w:sz w:val="24"/>
          <w:szCs w:val="24"/>
        </w:rPr>
        <w:t>m</w:t>
      </w:r>
      <w:r w:rsidR="000B3FC4">
        <w:rPr>
          <w:rFonts w:ascii="Times New Roman" w:hAnsi="Times New Roman" w:cs="Times New Roman"/>
          <w:i w:val="0"/>
          <w:color w:val="auto"/>
          <w:sz w:val="24"/>
          <w:szCs w:val="24"/>
          <w:vertAlign w:val="superscript"/>
        </w:rPr>
        <w:t>2</w:t>
      </w:r>
      <w:r w:rsidR="000263D4" w:rsidRPr="00E376DE">
        <w:rPr>
          <w:rFonts w:ascii="Times New Roman" w:hAnsi="Times New Roman" w:cs="Times New Roman"/>
          <w:i w:val="0"/>
          <w:color w:val="auto"/>
          <w:sz w:val="24"/>
          <w:szCs w:val="24"/>
        </w:rPr>
        <w:t>)</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50"/>
        <w:gridCol w:w="1323"/>
        <w:gridCol w:w="900"/>
        <w:gridCol w:w="1176"/>
        <w:gridCol w:w="1190"/>
        <w:gridCol w:w="756"/>
        <w:gridCol w:w="1243"/>
        <w:gridCol w:w="900"/>
        <w:gridCol w:w="990"/>
      </w:tblGrid>
      <w:tr w:rsidR="008C374F" w:rsidRPr="00E376DE" w:rsidTr="000B3FC4">
        <w:trPr>
          <w:trHeight w:val="360"/>
          <w:jc w:val="center"/>
        </w:trPr>
        <w:tc>
          <w:tcPr>
            <w:tcW w:w="540" w:type="dxa"/>
            <w:vMerge w:val="restart"/>
            <w:tcBorders>
              <w:top w:val="single" w:sz="4" w:space="0" w:color="auto"/>
            </w:tcBorders>
            <w:shd w:val="clear" w:color="auto" w:fill="auto"/>
            <w:noWrap/>
            <w:textDirection w:val="btLr"/>
            <w:vAlign w:val="center"/>
            <w:hideMark/>
          </w:tcPr>
          <w:p w:rsidR="008C374F" w:rsidRPr="00E376DE" w:rsidRDefault="008C374F" w:rsidP="00AA1F75">
            <w:pPr>
              <w:spacing w:after="0" w:line="240" w:lineRule="auto"/>
              <w:ind w:left="113" w:right="113"/>
              <w:jc w:val="center"/>
              <w:rPr>
                <w:rFonts w:ascii="Times New Roman" w:eastAsia="Times New Roman" w:hAnsi="Times New Roman" w:cs="Times New Roman"/>
                <w:sz w:val="24"/>
                <w:szCs w:val="24"/>
              </w:rPr>
            </w:pPr>
            <w:r w:rsidRPr="00E376DE">
              <w:rPr>
                <w:rFonts w:ascii="Times New Roman" w:eastAsia="Times New Roman" w:hAnsi="Times New Roman" w:cs="Times New Roman"/>
                <w:b/>
                <w:bCs/>
                <w:color w:val="000000"/>
                <w:sz w:val="24"/>
                <w:szCs w:val="24"/>
              </w:rPr>
              <w:t>1998</w:t>
            </w:r>
          </w:p>
        </w:tc>
        <w:tc>
          <w:tcPr>
            <w:tcW w:w="1350" w:type="dxa"/>
            <w:vMerge w:val="restart"/>
            <w:tcBorders>
              <w:top w:val="single" w:sz="4" w:space="0" w:color="auto"/>
            </w:tcBorders>
            <w:shd w:val="clear" w:color="auto" w:fill="auto"/>
            <w:noWrap/>
            <w:vAlign w:val="center"/>
            <w:hideMark/>
          </w:tcPr>
          <w:p w:rsidR="008C374F" w:rsidRPr="00E376DE" w:rsidRDefault="008C374F" w:rsidP="007551B3">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Cs/>
                <w:color w:val="000000"/>
                <w:sz w:val="24"/>
                <w:szCs w:val="24"/>
              </w:rPr>
              <w:t>LULC classes</w:t>
            </w:r>
          </w:p>
        </w:tc>
        <w:tc>
          <w:tcPr>
            <w:tcW w:w="8478" w:type="dxa"/>
            <w:gridSpan w:val="8"/>
            <w:tcBorders>
              <w:top w:val="single" w:sz="4" w:space="0" w:color="auto"/>
            </w:tcBorders>
            <w:shd w:val="clear" w:color="auto" w:fill="auto"/>
            <w:vAlign w:val="center"/>
          </w:tcPr>
          <w:p w:rsidR="008C374F" w:rsidRPr="00E376DE" w:rsidRDefault="008C374F" w:rsidP="00AA1F75">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2008</w:t>
            </w:r>
          </w:p>
        </w:tc>
      </w:tr>
      <w:tr w:rsidR="00A7607C" w:rsidRPr="00E376DE" w:rsidTr="000B3FC4">
        <w:trPr>
          <w:trHeight w:val="360"/>
          <w:jc w:val="center"/>
        </w:trPr>
        <w:tc>
          <w:tcPr>
            <w:tcW w:w="540" w:type="dxa"/>
            <w:vMerge/>
            <w:shd w:val="clear" w:color="auto" w:fill="auto"/>
            <w:noWrap/>
            <w:textDirection w:val="btLr"/>
            <w:vAlign w:val="center"/>
            <w:hideMark/>
          </w:tcPr>
          <w:p w:rsidR="008C374F" w:rsidRPr="00E376DE" w:rsidRDefault="008C374F" w:rsidP="00AA1F75">
            <w:pPr>
              <w:spacing w:after="0" w:line="240" w:lineRule="auto"/>
              <w:ind w:left="113" w:right="113"/>
              <w:jc w:val="center"/>
              <w:rPr>
                <w:rFonts w:ascii="Times New Roman" w:eastAsia="Times New Roman" w:hAnsi="Times New Roman" w:cs="Times New Roman"/>
                <w:b/>
                <w:bCs/>
                <w:color w:val="000000"/>
                <w:sz w:val="24"/>
                <w:szCs w:val="24"/>
              </w:rPr>
            </w:pPr>
          </w:p>
        </w:tc>
        <w:tc>
          <w:tcPr>
            <w:tcW w:w="1350" w:type="dxa"/>
            <w:vMerge/>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bCs/>
                <w:color w:val="000000"/>
                <w:sz w:val="24"/>
                <w:szCs w:val="24"/>
              </w:rPr>
            </w:pPr>
          </w:p>
        </w:tc>
        <w:tc>
          <w:tcPr>
            <w:tcW w:w="1323"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Agriculture</w:t>
            </w:r>
          </w:p>
        </w:tc>
        <w:tc>
          <w:tcPr>
            <w:tcW w:w="90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Forest</w:t>
            </w:r>
          </w:p>
        </w:tc>
        <w:tc>
          <w:tcPr>
            <w:tcW w:w="1176"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Grassland</w:t>
            </w:r>
          </w:p>
        </w:tc>
        <w:tc>
          <w:tcPr>
            <w:tcW w:w="119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Plantation</w:t>
            </w:r>
          </w:p>
        </w:tc>
        <w:tc>
          <w:tcPr>
            <w:tcW w:w="756" w:type="dxa"/>
            <w:shd w:val="clear" w:color="auto" w:fill="auto"/>
            <w:noWrap/>
            <w:vAlign w:val="center"/>
            <w:hideMark/>
          </w:tcPr>
          <w:p w:rsidR="00A7607C"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Sand</w:t>
            </w:r>
          </w:p>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bar</w:t>
            </w:r>
          </w:p>
        </w:tc>
        <w:tc>
          <w:tcPr>
            <w:tcW w:w="1243"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Settlement</w:t>
            </w:r>
          </w:p>
        </w:tc>
        <w:tc>
          <w:tcPr>
            <w:tcW w:w="90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Water</w:t>
            </w:r>
          </w:p>
        </w:tc>
        <w:tc>
          <w:tcPr>
            <w:tcW w:w="99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Grand Total</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Agriculture</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1794</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242.7</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46.9</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29.1</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262.1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2379</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Forest</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18.3</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802.4</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47.6</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169.1</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3.2</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113.1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3.5</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1157.2</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Grassland</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550.1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27.7</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756.6</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417.4</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78.9</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802.3</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34.4</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2667.4</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Plantation</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57.2</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88</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175.8</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427</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172.1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1.2</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934.3</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Sandbar</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47</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1.2</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252.8</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22.7</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424.2</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60</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193.6</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1001.5</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Settlement</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164.6</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141.3</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220.5</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282.3</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601.9</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10.9</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1443.5</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Water</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2.7</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48.6</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129.1</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75.9</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268.3</w:t>
            </w:r>
          </w:p>
        </w:tc>
      </w:tr>
      <w:tr w:rsidR="00A7607C" w:rsidRPr="00E376DE" w:rsidTr="000B3FC4">
        <w:trPr>
          <w:trHeight w:val="360"/>
          <w:jc w:val="center"/>
        </w:trPr>
        <w:tc>
          <w:tcPr>
            <w:tcW w:w="54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Grand Total</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2633.9</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1063.9</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1744.6</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1367.6</w:t>
            </w:r>
          </w:p>
        </w:tc>
        <w:tc>
          <w:tcPr>
            <w:tcW w:w="75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699.5</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2019.6</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322.1</w:t>
            </w:r>
          </w:p>
        </w:tc>
        <w:tc>
          <w:tcPr>
            <w:tcW w:w="9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9851.2</w:t>
            </w:r>
          </w:p>
        </w:tc>
      </w:tr>
    </w:tbl>
    <w:p w:rsidR="00C11216" w:rsidRPr="00E376DE" w:rsidRDefault="00C11216" w:rsidP="004612A5">
      <w:pPr>
        <w:rPr>
          <w:rFonts w:ascii="Times New Roman" w:hAnsi="Times New Roman" w:cs="Times New Roman"/>
          <w:b/>
          <w:sz w:val="24"/>
          <w:szCs w:val="24"/>
        </w:rPr>
      </w:pPr>
    </w:p>
    <w:p w:rsidR="00773D92" w:rsidRDefault="00773D92">
      <w:pPr>
        <w:rPr>
          <w:rFonts w:ascii="Times New Roman" w:hAnsi="Times New Roman" w:cs="Times New Roman"/>
          <w:iCs/>
          <w:sz w:val="24"/>
          <w:szCs w:val="24"/>
        </w:rPr>
      </w:pPr>
      <w:r>
        <w:rPr>
          <w:rFonts w:ascii="Times New Roman" w:hAnsi="Times New Roman" w:cs="Times New Roman"/>
          <w:i/>
          <w:sz w:val="24"/>
          <w:szCs w:val="24"/>
        </w:rPr>
        <w:br w:type="page"/>
      </w:r>
    </w:p>
    <w:p w:rsidR="000263D4" w:rsidRPr="00E376DE" w:rsidRDefault="00A76C49" w:rsidP="000B3FC4">
      <w:pPr>
        <w:pStyle w:val="Caption"/>
        <w:keepNext/>
        <w:jc w:val="center"/>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lastRenderedPageBreak/>
        <w:t>Appendix S</w:t>
      </w:r>
      <w:r w:rsidR="007F6A9D">
        <w:rPr>
          <w:rFonts w:ascii="Times New Roman" w:hAnsi="Times New Roman" w:cs="Times New Roman"/>
          <w:i w:val="0"/>
          <w:color w:val="auto"/>
          <w:sz w:val="24"/>
          <w:szCs w:val="24"/>
        </w:rPr>
        <w:t>7</w:t>
      </w:r>
      <w:r w:rsidR="000263D4" w:rsidRPr="00AC116E">
        <w:rPr>
          <w:rFonts w:ascii="Times New Roman" w:hAnsi="Times New Roman" w:cs="Times New Roman"/>
          <w:i w:val="0"/>
          <w:color w:val="auto"/>
          <w:sz w:val="24"/>
          <w:szCs w:val="24"/>
        </w:rPr>
        <w:t>.</w:t>
      </w:r>
      <w:r w:rsidR="000263D4" w:rsidRPr="00E376DE">
        <w:rPr>
          <w:rFonts w:ascii="Times New Roman" w:hAnsi="Times New Roman" w:cs="Times New Roman"/>
          <w:i w:val="0"/>
          <w:color w:val="auto"/>
          <w:sz w:val="24"/>
          <w:szCs w:val="24"/>
        </w:rPr>
        <w:t xml:space="preserve"> Inter-conversion of Land Use Land Cover (LULC) classes between 2008 and 2018</w:t>
      </w:r>
      <w:r w:rsidR="000B3FC4">
        <w:rPr>
          <w:rFonts w:ascii="Times New Roman" w:hAnsi="Times New Roman" w:cs="Times New Roman"/>
          <w:i w:val="0"/>
          <w:color w:val="auto"/>
          <w:sz w:val="24"/>
          <w:szCs w:val="24"/>
        </w:rPr>
        <w:t xml:space="preserve"> (</w:t>
      </w:r>
      <w:r w:rsidR="00713F5E">
        <w:rPr>
          <w:rFonts w:ascii="Times New Roman" w:hAnsi="Times New Roman" w:cs="Times New Roman"/>
          <w:i w:val="0"/>
          <w:color w:val="auto"/>
          <w:sz w:val="24"/>
          <w:szCs w:val="24"/>
        </w:rPr>
        <w:t>Area</w:t>
      </w:r>
      <w:r w:rsidR="00BE2D88">
        <w:rPr>
          <w:rFonts w:ascii="Times New Roman" w:hAnsi="Times New Roman" w:cs="Times New Roman"/>
          <w:i w:val="0"/>
          <w:color w:val="auto"/>
          <w:sz w:val="24"/>
          <w:szCs w:val="24"/>
        </w:rPr>
        <w:t xml:space="preserve"> in k</w:t>
      </w:r>
      <w:r w:rsidR="000B3FC4">
        <w:rPr>
          <w:rFonts w:ascii="Times New Roman" w:hAnsi="Times New Roman" w:cs="Times New Roman"/>
          <w:i w:val="0"/>
          <w:color w:val="auto"/>
          <w:sz w:val="24"/>
          <w:szCs w:val="24"/>
        </w:rPr>
        <w:t>m</w:t>
      </w:r>
      <w:r w:rsidR="000B3FC4">
        <w:rPr>
          <w:rFonts w:ascii="Times New Roman" w:hAnsi="Times New Roman" w:cs="Times New Roman"/>
          <w:i w:val="0"/>
          <w:color w:val="auto"/>
          <w:sz w:val="24"/>
          <w:szCs w:val="24"/>
          <w:vertAlign w:val="superscript"/>
        </w:rPr>
        <w:t>2</w:t>
      </w:r>
      <w:r w:rsidR="000B3FC4">
        <w:rPr>
          <w:rFonts w:ascii="Times New Roman" w:hAnsi="Times New Roman" w:cs="Times New Roman"/>
          <w:i w:val="0"/>
          <w:color w:val="auto"/>
          <w:sz w:val="24"/>
          <w:szCs w:val="24"/>
        </w:rPr>
        <w:t>)</w:t>
      </w: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50"/>
        <w:gridCol w:w="1323"/>
        <w:gridCol w:w="900"/>
        <w:gridCol w:w="1176"/>
        <w:gridCol w:w="1190"/>
        <w:gridCol w:w="1080"/>
        <w:gridCol w:w="1243"/>
        <w:gridCol w:w="810"/>
        <w:gridCol w:w="1083"/>
      </w:tblGrid>
      <w:tr w:rsidR="008C374F" w:rsidRPr="00E376DE" w:rsidTr="000B3FC4">
        <w:trPr>
          <w:trHeight w:val="360"/>
          <w:jc w:val="center"/>
        </w:trPr>
        <w:tc>
          <w:tcPr>
            <w:tcW w:w="630" w:type="dxa"/>
            <w:vMerge w:val="restart"/>
            <w:tcBorders>
              <w:top w:val="single" w:sz="4" w:space="0" w:color="auto"/>
            </w:tcBorders>
            <w:shd w:val="clear" w:color="auto" w:fill="auto"/>
            <w:noWrap/>
            <w:textDirection w:val="btLr"/>
            <w:vAlign w:val="center"/>
            <w:hideMark/>
          </w:tcPr>
          <w:p w:rsidR="008C374F" w:rsidRPr="00E376DE" w:rsidRDefault="008C374F" w:rsidP="00AA1F75">
            <w:pPr>
              <w:spacing w:after="0" w:line="240" w:lineRule="auto"/>
              <w:ind w:left="113" w:right="113"/>
              <w:jc w:val="center"/>
              <w:rPr>
                <w:rFonts w:ascii="Times New Roman" w:eastAsia="Times New Roman" w:hAnsi="Times New Roman" w:cs="Times New Roman"/>
                <w:sz w:val="24"/>
                <w:szCs w:val="24"/>
              </w:rPr>
            </w:pPr>
            <w:r w:rsidRPr="00E376DE">
              <w:rPr>
                <w:rFonts w:ascii="Times New Roman" w:eastAsia="Times New Roman" w:hAnsi="Times New Roman" w:cs="Times New Roman"/>
                <w:b/>
                <w:bCs/>
                <w:color w:val="000000"/>
                <w:sz w:val="24"/>
                <w:szCs w:val="24"/>
              </w:rPr>
              <w:t>2008</w:t>
            </w:r>
          </w:p>
        </w:tc>
        <w:tc>
          <w:tcPr>
            <w:tcW w:w="1350" w:type="dxa"/>
            <w:vMerge w:val="restart"/>
            <w:tcBorders>
              <w:top w:val="single" w:sz="4" w:space="0" w:color="auto"/>
            </w:tcBorders>
            <w:shd w:val="clear" w:color="auto" w:fill="auto"/>
            <w:noWrap/>
            <w:vAlign w:val="center"/>
            <w:hideMark/>
          </w:tcPr>
          <w:p w:rsidR="008C374F" w:rsidRPr="00E376DE" w:rsidRDefault="008C374F" w:rsidP="007551B3">
            <w:pPr>
              <w:spacing w:after="0" w:line="240" w:lineRule="auto"/>
              <w:rPr>
                <w:rFonts w:ascii="Times New Roman" w:eastAsia="Times New Roman" w:hAnsi="Times New Roman" w:cs="Times New Roman"/>
                <w:sz w:val="24"/>
                <w:szCs w:val="24"/>
              </w:rPr>
            </w:pPr>
            <w:r w:rsidRPr="00E376DE">
              <w:rPr>
                <w:rFonts w:ascii="Times New Roman" w:eastAsia="Times New Roman" w:hAnsi="Times New Roman" w:cs="Times New Roman"/>
                <w:bCs/>
                <w:color w:val="000000"/>
                <w:sz w:val="24"/>
                <w:szCs w:val="24"/>
              </w:rPr>
              <w:t>LULC classes</w:t>
            </w:r>
          </w:p>
        </w:tc>
        <w:tc>
          <w:tcPr>
            <w:tcW w:w="8805" w:type="dxa"/>
            <w:gridSpan w:val="8"/>
            <w:tcBorders>
              <w:top w:val="single" w:sz="4" w:space="0" w:color="auto"/>
            </w:tcBorders>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2018</w:t>
            </w:r>
          </w:p>
        </w:tc>
      </w:tr>
      <w:tr w:rsidR="008C374F" w:rsidRPr="00E376DE" w:rsidTr="000B3FC4">
        <w:trPr>
          <w:trHeight w:val="360"/>
          <w:jc w:val="center"/>
        </w:trPr>
        <w:tc>
          <w:tcPr>
            <w:tcW w:w="630" w:type="dxa"/>
            <w:vMerge/>
            <w:shd w:val="clear" w:color="auto" w:fill="auto"/>
            <w:noWrap/>
            <w:textDirection w:val="btLr"/>
            <w:vAlign w:val="center"/>
            <w:hideMark/>
          </w:tcPr>
          <w:p w:rsidR="008C374F" w:rsidRPr="00E376DE" w:rsidRDefault="008C374F" w:rsidP="00AA1F75">
            <w:pPr>
              <w:spacing w:after="0" w:line="240" w:lineRule="auto"/>
              <w:ind w:left="113" w:right="113"/>
              <w:jc w:val="center"/>
              <w:rPr>
                <w:rFonts w:ascii="Times New Roman" w:eastAsia="Times New Roman" w:hAnsi="Times New Roman" w:cs="Times New Roman"/>
                <w:b/>
                <w:bCs/>
                <w:color w:val="000000"/>
                <w:sz w:val="24"/>
                <w:szCs w:val="24"/>
              </w:rPr>
            </w:pPr>
          </w:p>
        </w:tc>
        <w:tc>
          <w:tcPr>
            <w:tcW w:w="1350" w:type="dxa"/>
            <w:vMerge/>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bCs/>
                <w:color w:val="000000"/>
                <w:sz w:val="24"/>
                <w:szCs w:val="24"/>
              </w:rPr>
            </w:pPr>
          </w:p>
        </w:tc>
        <w:tc>
          <w:tcPr>
            <w:tcW w:w="1323"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Agriculture</w:t>
            </w:r>
          </w:p>
        </w:tc>
        <w:tc>
          <w:tcPr>
            <w:tcW w:w="90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Forest</w:t>
            </w:r>
          </w:p>
        </w:tc>
        <w:tc>
          <w:tcPr>
            <w:tcW w:w="1176"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Grassland</w:t>
            </w:r>
          </w:p>
        </w:tc>
        <w:tc>
          <w:tcPr>
            <w:tcW w:w="119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Plantation</w:t>
            </w:r>
          </w:p>
        </w:tc>
        <w:tc>
          <w:tcPr>
            <w:tcW w:w="108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Sandbar</w:t>
            </w:r>
          </w:p>
        </w:tc>
        <w:tc>
          <w:tcPr>
            <w:tcW w:w="1243"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Settlement</w:t>
            </w:r>
          </w:p>
        </w:tc>
        <w:tc>
          <w:tcPr>
            <w:tcW w:w="810"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Water</w:t>
            </w:r>
          </w:p>
        </w:tc>
        <w:tc>
          <w:tcPr>
            <w:tcW w:w="1083" w:type="dxa"/>
            <w:shd w:val="clear" w:color="auto" w:fill="auto"/>
            <w:noWrap/>
            <w:vAlign w:val="center"/>
            <w:hideMark/>
          </w:tcPr>
          <w:p w:rsidR="008C374F" w:rsidRPr="00E376DE" w:rsidRDefault="008C374F" w:rsidP="00AA1F75">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Grand Total</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Agriculture</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1498.3</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7.9</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545.7</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162.4</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16.7</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396.5</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6.4</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2633.9</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Forest</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838.8</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44.9</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67.5</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1.8</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108.3</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1063.9</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Grassland</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175</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32.7</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509.9</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262.4</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138.4</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574.5</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51.7</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1744.6</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Plantation</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20.7</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107.5</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249.2</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414.4</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8.6</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563.1</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4.1</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1367.6</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Sandbar</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26.1</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3.3</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151.7</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11.6</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307.6</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116.3</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82.9</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699.5</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Settlement</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163.7</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112.8</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373.4</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223.8</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25.9</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1108.4</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11.6</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2019.6</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Water</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0.3</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2.2</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19.5</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0.4</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176.7</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48.4</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74.6</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322.1</w:t>
            </w:r>
          </w:p>
        </w:tc>
      </w:tr>
      <w:tr w:rsidR="008C374F" w:rsidRPr="00E376DE" w:rsidTr="000B3FC4">
        <w:trPr>
          <w:trHeight w:val="360"/>
          <w:jc w:val="center"/>
        </w:trPr>
        <w:tc>
          <w:tcPr>
            <w:tcW w:w="630" w:type="dxa"/>
            <w:vMerge/>
            <w:vAlign w:val="center"/>
            <w:hideMark/>
          </w:tcPr>
          <w:p w:rsidR="008C374F" w:rsidRPr="00E376DE" w:rsidRDefault="008C374F" w:rsidP="00857165">
            <w:pPr>
              <w:spacing w:after="0" w:line="240" w:lineRule="auto"/>
              <w:rPr>
                <w:rFonts w:ascii="Times New Roman" w:eastAsia="Times New Roman" w:hAnsi="Times New Roman" w:cs="Times New Roman"/>
                <w:b/>
                <w:bCs/>
                <w:color w:val="000000"/>
                <w:sz w:val="24"/>
                <w:szCs w:val="24"/>
              </w:rPr>
            </w:pPr>
          </w:p>
        </w:tc>
        <w:tc>
          <w:tcPr>
            <w:tcW w:w="1350" w:type="dxa"/>
            <w:shd w:val="clear" w:color="auto" w:fill="auto"/>
            <w:noWrap/>
            <w:vAlign w:val="center"/>
            <w:hideMark/>
          </w:tcPr>
          <w:p w:rsidR="008C374F" w:rsidRPr="00E376DE" w:rsidRDefault="008C374F" w:rsidP="00857165">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Grand Total</w:t>
            </w:r>
          </w:p>
        </w:tc>
        <w:tc>
          <w:tcPr>
            <w:tcW w:w="132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1885.4</w:t>
            </w:r>
          </w:p>
        </w:tc>
        <w:tc>
          <w:tcPr>
            <w:tcW w:w="90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1105.2</w:t>
            </w:r>
          </w:p>
        </w:tc>
        <w:tc>
          <w:tcPr>
            <w:tcW w:w="1176"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1894.3</w:t>
            </w:r>
          </w:p>
        </w:tc>
        <w:tc>
          <w:tcPr>
            <w:tcW w:w="119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1142.5</w:t>
            </w:r>
          </w:p>
        </w:tc>
        <w:tc>
          <w:tcPr>
            <w:tcW w:w="108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675.7</w:t>
            </w:r>
          </w:p>
        </w:tc>
        <w:tc>
          <w:tcPr>
            <w:tcW w:w="124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2915.5</w:t>
            </w:r>
          </w:p>
        </w:tc>
        <w:tc>
          <w:tcPr>
            <w:tcW w:w="810"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232.6</w:t>
            </w:r>
          </w:p>
        </w:tc>
        <w:tc>
          <w:tcPr>
            <w:tcW w:w="1083" w:type="dxa"/>
            <w:shd w:val="clear" w:color="auto" w:fill="auto"/>
            <w:noWrap/>
            <w:hideMark/>
          </w:tcPr>
          <w:p w:rsidR="008C374F" w:rsidRPr="00E376DE" w:rsidRDefault="008C374F" w:rsidP="00857165">
            <w:pPr>
              <w:spacing w:after="0" w:line="240" w:lineRule="auto"/>
              <w:jc w:val="center"/>
              <w:rPr>
                <w:rFonts w:ascii="Times New Roman" w:eastAsia="Times New Roman" w:hAnsi="Times New Roman" w:cs="Times New Roman"/>
                <w:color w:val="000000"/>
                <w:sz w:val="24"/>
                <w:szCs w:val="24"/>
              </w:rPr>
            </w:pPr>
            <w:r w:rsidRPr="00E376DE">
              <w:rPr>
                <w:rFonts w:ascii="Times New Roman" w:hAnsi="Times New Roman" w:cs="Times New Roman"/>
                <w:sz w:val="24"/>
                <w:szCs w:val="24"/>
              </w:rPr>
              <w:t>9851.2</w:t>
            </w:r>
          </w:p>
        </w:tc>
      </w:tr>
    </w:tbl>
    <w:p w:rsidR="00773D92" w:rsidRDefault="00773D92" w:rsidP="004612A5">
      <w:pPr>
        <w:rPr>
          <w:rFonts w:ascii="Times New Roman" w:hAnsi="Times New Roman" w:cs="Times New Roman"/>
          <w:b/>
          <w:sz w:val="24"/>
          <w:szCs w:val="24"/>
        </w:rPr>
        <w:sectPr w:rsidR="00773D92" w:rsidSect="00B90298">
          <w:pgSz w:w="11906" w:h="16838"/>
          <w:pgMar w:top="1440" w:right="1440" w:bottom="1440" w:left="1440" w:header="706" w:footer="706" w:gutter="0"/>
          <w:cols w:space="708"/>
          <w:docGrid w:linePitch="360"/>
        </w:sectPr>
      </w:pPr>
    </w:p>
    <w:p w:rsidR="009A738D" w:rsidRPr="00E376DE" w:rsidRDefault="009A738D" w:rsidP="009A738D">
      <w:pPr>
        <w:rPr>
          <w:rFonts w:ascii="Times New Roman" w:hAnsi="Times New Roman" w:cs="Times New Roman"/>
          <w:b/>
          <w:sz w:val="24"/>
          <w:szCs w:val="24"/>
        </w:rPr>
      </w:pPr>
      <w:r w:rsidRPr="00E376DE">
        <w:rPr>
          <w:rFonts w:ascii="Times New Roman" w:hAnsi="Times New Roman" w:cs="Times New Roman"/>
          <w:b/>
          <w:noProof/>
          <w:sz w:val="24"/>
          <w:szCs w:val="24"/>
          <w:lang w:val="en-US"/>
        </w:rPr>
        <w:lastRenderedPageBreak/>
        <w:drawing>
          <wp:inline distT="0" distB="0" distL="0" distR="0">
            <wp:extent cx="5731510" cy="4809285"/>
            <wp:effectExtent l="19050" t="0" r="2540" b="0"/>
            <wp:docPr id="22" name="Picture 5" descr="C:\Users\Sony\Desktop\Desktop\Desktop_May_18\DSKPDF_Map\Kuldip\NDV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Desktop\Desktop_May_18\DSKPDF_Map\Kuldip\NDVI_17.jpg"/>
                    <pic:cNvPicPr>
                      <a:picLocks noChangeAspect="1" noChangeArrowheads="1"/>
                    </pic:cNvPicPr>
                  </pic:nvPicPr>
                  <pic:blipFill>
                    <a:blip r:embed="rId11" cstate="print"/>
                    <a:srcRect/>
                    <a:stretch>
                      <a:fillRect/>
                    </a:stretch>
                  </pic:blipFill>
                  <pic:spPr bwMode="auto">
                    <a:xfrm>
                      <a:off x="0" y="0"/>
                      <a:ext cx="5731510" cy="4809285"/>
                    </a:xfrm>
                    <a:prstGeom prst="rect">
                      <a:avLst/>
                    </a:prstGeom>
                    <a:noFill/>
                    <a:ln w="9525">
                      <a:noFill/>
                      <a:miter lim="800000"/>
                      <a:headEnd/>
                      <a:tailEnd/>
                    </a:ln>
                  </pic:spPr>
                </pic:pic>
              </a:graphicData>
            </a:graphic>
          </wp:inline>
        </w:drawing>
      </w:r>
    </w:p>
    <w:p w:rsidR="009A738D" w:rsidRDefault="00A76C49" w:rsidP="009A738D">
      <w:pPr>
        <w:jc w:val="center"/>
        <w:rPr>
          <w:rFonts w:ascii="Times New Roman" w:hAnsi="Times New Roman" w:cs="Times New Roman"/>
          <w:sz w:val="24"/>
          <w:szCs w:val="24"/>
        </w:rPr>
      </w:pPr>
      <w:r w:rsidRPr="00AC116E">
        <w:rPr>
          <w:rFonts w:ascii="Times New Roman" w:hAnsi="Times New Roman" w:cs="Times New Roman"/>
          <w:sz w:val="24"/>
          <w:szCs w:val="24"/>
        </w:rPr>
        <w:t>Appendix S</w:t>
      </w:r>
      <w:r w:rsidR="007F6A9D">
        <w:rPr>
          <w:rFonts w:ascii="Times New Roman" w:hAnsi="Times New Roman" w:cs="Times New Roman"/>
          <w:sz w:val="24"/>
          <w:szCs w:val="24"/>
        </w:rPr>
        <w:t>8</w:t>
      </w:r>
      <w:r w:rsidR="009A738D" w:rsidRPr="00AC116E">
        <w:rPr>
          <w:rFonts w:ascii="Times New Roman" w:hAnsi="Times New Roman" w:cs="Times New Roman"/>
          <w:sz w:val="24"/>
          <w:szCs w:val="24"/>
        </w:rPr>
        <w:t>.</w:t>
      </w:r>
      <w:r w:rsidR="009A738D" w:rsidRPr="00E376DE">
        <w:rPr>
          <w:rFonts w:ascii="Times New Roman" w:hAnsi="Times New Roman" w:cs="Times New Roman"/>
          <w:sz w:val="24"/>
          <w:szCs w:val="24"/>
        </w:rPr>
        <w:t xml:space="preserve"> NDVI map of the study area calculated from the Landsat image of 2018</w:t>
      </w:r>
      <w:r w:rsidR="009D313C">
        <w:rPr>
          <w:rFonts w:ascii="Times New Roman" w:hAnsi="Times New Roman" w:cs="Times New Roman"/>
          <w:sz w:val="24"/>
          <w:szCs w:val="24"/>
        </w:rPr>
        <w:t xml:space="preserve"> </w:t>
      </w:r>
      <w:r w:rsidR="00244076">
        <w:rPr>
          <w:rFonts w:ascii="Times New Roman" w:eastAsia="Calibri" w:hAnsi="Times New Roman" w:cs="Times New Roman"/>
          <w:sz w:val="24"/>
        </w:rPr>
        <w:t>(prepared in ArcGIS 10.3).</w:t>
      </w:r>
    </w:p>
    <w:p w:rsidR="00164E0E" w:rsidRPr="00E376DE" w:rsidRDefault="00164E0E" w:rsidP="00164E0E">
      <w:pPr>
        <w:jc w:val="center"/>
        <w:rPr>
          <w:rFonts w:ascii="Times New Roman" w:hAnsi="Times New Roman" w:cs="Times New Roman"/>
          <w:b/>
          <w:sz w:val="24"/>
          <w:szCs w:val="24"/>
        </w:rPr>
      </w:pPr>
      <w:r w:rsidRPr="00E376DE">
        <w:rPr>
          <w:rFonts w:ascii="Times New Roman" w:hAnsi="Times New Roman" w:cs="Times New Roman"/>
          <w:b/>
          <w:noProof/>
          <w:sz w:val="24"/>
          <w:szCs w:val="24"/>
          <w:lang w:val="en-US"/>
        </w:rPr>
        <w:drawing>
          <wp:inline distT="0" distB="0" distL="0" distR="0">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4E0E" w:rsidRPr="00E376DE" w:rsidRDefault="00A76C49" w:rsidP="00164E0E">
      <w:pPr>
        <w:jc w:val="center"/>
        <w:rPr>
          <w:rFonts w:ascii="Times New Roman" w:hAnsi="Times New Roman" w:cs="Times New Roman"/>
          <w:sz w:val="24"/>
          <w:szCs w:val="24"/>
        </w:rPr>
      </w:pPr>
      <w:r w:rsidRPr="00AC116E">
        <w:rPr>
          <w:rFonts w:ascii="Times New Roman" w:hAnsi="Times New Roman" w:cs="Times New Roman"/>
          <w:sz w:val="24"/>
          <w:szCs w:val="24"/>
        </w:rPr>
        <w:t>Appendix S</w:t>
      </w:r>
      <w:r w:rsidR="007F6A9D">
        <w:rPr>
          <w:rFonts w:ascii="Times New Roman" w:hAnsi="Times New Roman" w:cs="Times New Roman"/>
          <w:sz w:val="24"/>
          <w:szCs w:val="24"/>
        </w:rPr>
        <w:t>9</w:t>
      </w:r>
      <w:r w:rsidR="00164E0E" w:rsidRPr="00AC116E">
        <w:rPr>
          <w:rFonts w:ascii="Times New Roman" w:hAnsi="Times New Roman" w:cs="Times New Roman"/>
          <w:sz w:val="24"/>
          <w:szCs w:val="24"/>
        </w:rPr>
        <w:t>.</w:t>
      </w:r>
      <w:r w:rsidR="00EB6D87" w:rsidRPr="00E376DE">
        <w:rPr>
          <w:rFonts w:ascii="Times New Roman" w:hAnsi="Times New Roman" w:cs="Times New Roman"/>
          <w:sz w:val="24"/>
          <w:szCs w:val="24"/>
        </w:rPr>
        <w:t xml:space="preserve"> </w:t>
      </w:r>
      <w:r w:rsidR="0083791C" w:rsidRPr="00E376DE">
        <w:rPr>
          <w:rFonts w:ascii="Times New Roman" w:hAnsi="Times New Roman" w:cs="Times New Roman"/>
          <w:sz w:val="24"/>
          <w:szCs w:val="24"/>
        </w:rPr>
        <w:t>Overall area (in km</w:t>
      </w:r>
      <w:r w:rsidR="0083791C" w:rsidRPr="00E376DE">
        <w:rPr>
          <w:rFonts w:ascii="Times New Roman" w:hAnsi="Times New Roman" w:cs="Times New Roman"/>
          <w:sz w:val="24"/>
          <w:szCs w:val="24"/>
          <w:vertAlign w:val="superscript"/>
        </w:rPr>
        <w:t>2</w:t>
      </w:r>
      <w:r w:rsidR="0083791C" w:rsidRPr="00E376DE">
        <w:rPr>
          <w:rFonts w:ascii="Times New Roman" w:hAnsi="Times New Roman" w:cs="Times New Roman"/>
          <w:sz w:val="24"/>
          <w:szCs w:val="24"/>
        </w:rPr>
        <w:t>)</w:t>
      </w:r>
      <w:r w:rsidR="00215044" w:rsidRPr="00E376DE">
        <w:rPr>
          <w:rFonts w:ascii="Times New Roman" w:hAnsi="Times New Roman" w:cs="Times New Roman"/>
          <w:sz w:val="24"/>
          <w:szCs w:val="24"/>
        </w:rPr>
        <w:t xml:space="preserve"> </w:t>
      </w:r>
      <w:r w:rsidR="0083791C" w:rsidRPr="00E376DE">
        <w:rPr>
          <w:rFonts w:ascii="Times New Roman" w:hAnsi="Times New Roman" w:cs="Times New Roman"/>
          <w:sz w:val="24"/>
          <w:szCs w:val="24"/>
        </w:rPr>
        <w:t xml:space="preserve">vs. tea plantation area of NDVI classes </w:t>
      </w:r>
      <w:r w:rsidR="00164E0E" w:rsidRPr="00E376DE">
        <w:rPr>
          <w:rFonts w:ascii="Times New Roman" w:hAnsi="Times New Roman" w:cs="Times New Roman"/>
          <w:sz w:val="24"/>
          <w:szCs w:val="24"/>
        </w:rPr>
        <w:t>in the study area</w:t>
      </w:r>
      <w:r w:rsidR="0083791C" w:rsidRPr="00E376DE">
        <w:rPr>
          <w:rFonts w:ascii="Times New Roman" w:hAnsi="Times New Roman" w:cs="Times New Roman"/>
          <w:sz w:val="24"/>
          <w:szCs w:val="24"/>
        </w:rPr>
        <w:t>.</w:t>
      </w:r>
    </w:p>
    <w:p w:rsidR="003502F0" w:rsidRPr="00E376DE" w:rsidRDefault="00AC257B" w:rsidP="0083791C">
      <w:pPr>
        <w:jc w:val="center"/>
        <w:rPr>
          <w:rFonts w:ascii="Times New Roman" w:hAnsi="Times New Roman" w:cs="Times New Roman"/>
          <w:sz w:val="24"/>
          <w:szCs w:val="24"/>
        </w:rPr>
      </w:pPr>
      <w:r w:rsidRPr="00E376DE">
        <w:rPr>
          <w:rFonts w:ascii="Times New Roman" w:hAnsi="Times New Roman" w:cs="Times New Roman"/>
          <w:noProof/>
          <w:sz w:val="24"/>
          <w:szCs w:val="24"/>
          <w:lang w:val="en-US"/>
        </w:rPr>
        <w:lastRenderedPageBreak/>
        <w:drawing>
          <wp:inline distT="0" distB="0" distL="0" distR="0">
            <wp:extent cx="4048125" cy="26574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257B" w:rsidRPr="00E376DE" w:rsidRDefault="00A76C49" w:rsidP="00AC257B">
      <w:pPr>
        <w:spacing w:line="360" w:lineRule="auto"/>
        <w:ind w:left="1701" w:hanging="1701"/>
        <w:jc w:val="both"/>
        <w:rPr>
          <w:rFonts w:ascii="Times New Roman" w:hAnsi="Times New Roman" w:cs="Times New Roman"/>
          <w:sz w:val="24"/>
          <w:szCs w:val="24"/>
        </w:rPr>
      </w:pPr>
      <w:r w:rsidRPr="00AC116E">
        <w:rPr>
          <w:rFonts w:ascii="Times New Roman" w:hAnsi="Times New Roman" w:cs="Times New Roman"/>
          <w:sz w:val="24"/>
          <w:szCs w:val="24"/>
        </w:rPr>
        <w:t>Appendix S</w:t>
      </w:r>
      <w:r w:rsidR="007F6A9D">
        <w:rPr>
          <w:rFonts w:ascii="Times New Roman" w:hAnsi="Times New Roman" w:cs="Times New Roman"/>
          <w:sz w:val="24"/>
          <w:szCs w:val="24"/>
        </w:rPr>
        <w:t>10</w:t>
      </w:r>
      <w:r w:rsidR="00AC257B" w:rsidRPr="00AC116E">
        <w:rPr>
          <w:rFonts w:ascii="Times New Roman" w:hAnsi="Times New Roman" w:cs="Times New Roman"/>
          <w:sz w:val="24"/>
          <w:szCs w:val="24"/>
        </w:rPr>
        <w:t>.</w:t>
      </w:r>
      <w:r w:rsidR="00AC257B" w:rsidRPr="00E376DE">
        <w:rPr>
          <w:rFonts w:ascii="Times New Roman" w:hAnsi="Times New Roman" w:cs="Times New Roman"/>
          <w:sz w:val="24"/>
          <w:szCs w:val="24"/>
        </w:rPr>
        <w:t xml:space="preserve"> Percentage area of NDVI classes in high potential model threshold in the study area with and without tea plantation</w:t>
      </w:r>
    </w:p>
    <w:p w:rsidR="00237C18" w:rsidRPr="00E376DE" w:rsidRDefault="00237C18" w:rsidP="0083791C">
      <w:pPr>
        <w:jc w:val="center"/>
        <w:rPr>
          <w:rFonts w:ascii="Times New Roman" w:hAnsi="Times New Roman" w:cs="Times New Roman"/>
          <w:sz w:val="24"/>
          <w:szCs w:val="24"/>
        </w:rPr>
      </w:pPr>
    </w:p>
    <w:p w:rsidR="00237C18" w:rsidRPr="00497DE8" w:rsidRDefault="00A76C49" w:rsidP="00237C18">
      <w:pPr>
        <w:pStyle w:val="Caption"/>
        <w:keepNext/>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t>Appendix S1</w:t>
      </w:r>
      <w:r w:rsidR="007F6A9D">
        <w:rPr>
          <w:rFonts w:ascii="Times New Roman" w:hAnsi="Times New Roman" w:cs="Times New Roman"/>
          <w:i w:val="0"/>
          <w:color w:val="auto"/>
          <w:sz w:val="24"/>
          <w:szCs w:val="24"/>
        </w:rPr>
        <w:t>1</w:t>
      </w:r>
      <w:r w:rsidR="00237C18" w:rsidRPr="00AC116E">
        <w:rPr>
          <w:rFonts w:ascii="Times New Roman" w:hAnsi="Times New Roman" w:cs="Times New Roman"/>
          <w:i w:val="0"/>
          <w:color w:val="auto"/>
          <w:sz w:val="24"/>
          <w:szCs w:val="24"/>
        </w:rPr>
        <w:t>.</w:t>
      </w:r>
      <w:r w:rsidR="00237C18" w:rsidRPr="00497DE8">
        <w:rPr>
          <w:rFonts w:ascii="Times New Roman" w:hAnsi="Times New Roman" w:cs="Times New Roman"/>
          <w:i w:val="0"/>
          <w:color w:val="auto"/>
          <w:sz w:val="24"/>
          <w:szCs w:val="24"/>
        </w:rPr>
        <w:t xml:space="preserve"> Canopy cover change matrix between 2008 and 2018 (area in sq. km)</w:t>
      </w:r>
    </w:p>
    <w:tbl>
      <w:tblPr>
        <w:tblStyle w:val="TableGrid"/>
        <w:tblW w:w="50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1418"/>
        <w:gridCol w:w="1511"/>
        <w:gridCol w:w="1242"/>
        <w:gridCol w:w="1300"/>
        <w:gridCol w:w="1709"/>
        <w:gridCol w:w="1414"/>
      </w:tblGrid>
      <w:tr w:rsidR="00237C18" w:rsidRPr="00497DE8" w:rsidTr="00E50FF3">
        <w:trPr>
          <w:trHeight w:val="110"/>
          <w:jc w:val="center"/>
        </w:trPr>
        <w:tc>
          <w:tcPr>
            <w:tcW w:w="358" w:type="pct"/>
            <w:vMerge w:val="restart"/>
            <w:tcBorders>
              <w:top w:val="single" w:sz="4" w:space="0" w:color="auto"/>
              <w:left w:val="single" w:sz="4" w:space="0" w:color="auto"/>
              <w:right w:val="single" w:sz="4" w:space="0" w:color="auto"/>
            </w:tcBorders>
            <w:textDirection w:val="btLr"/>
          </w:tcPr>
          <w:p w:rsidR="00237C18" w:rsidRPr="00497DE8" w:rsidRDefault="00237C18" w:rsidP="00E50FF3">
            <w:pPr>
              <w:ind w:left="113" w:right="113"/>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2018</w:t>
            </w:r>
          </w:p>
        </w:tc>
        <w:tc>
          <w:tcPr>
            <w:tcW w:w="4642" w:type="pct"/>
            <w:gridSpan w:val="6"/>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2008</w:t>
            </w:r>
          </w:p>
        </w:tc>
      </w:tr>
      <w:tr w:rsidR="00237C18" w:rsidRPr="00497DE8" w:rsidTr="00E50FF3">
        <w:trPr>
          <w:trHeight w:val="62"/>
          <w:jc w:val="center"/>
        </w:trPr>
        <w:tc>
          <w:tcPr>
            <w:tcW w:w="358" w:type="pct"/>
            <w:vMerge/>
            <w:tcBorders>
              <w:left w:val="single" w:sz="4" w:space="0" w:color="auto"/>
              <w:right w:val="single" w:sz="4" w:space="0" w:color="auto"/>
            </w:tcBorders>
            <w:textDirection w:val="btLr"/>
          </w:tcPr>
          <w:p w:rsidR="00237C18" w:rsidRPr="00497DE8" w:rsidRDefault="00237C18" w:rsidP="00E50FF3">
            <w:pPr>
              <w:ind w:left="113" w:right="113"/>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Area</w:t>
            </w:r>
          </w:p>
        </w:tc>
        <w:tc>
          <w:tcPr>
            <w:tcW w:w="816"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NC</w:t>
            </w:r>
          </w:p>
        </w:tc>
        <w:tc>
          <w:tcPr>
            <w:tcW w:w="671"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OC</w:t>
            </w:r>
          </w:p>
        </w:tc>
        <w:tc>
          <w:tcPr>
            <w:tcW w:w="702"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DC</w:t>
            </w:r>
          </w:p>
        </w:tc>
        <w:tc>
          <w:tcPr>
            <w:tcW w:w="923"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VDC</w:t>
            </w:r>
          </w:p>
        </w:tc>
        <w:tc>
          <w:tcPr>
            <w:tcW w:w="766" w:type="pct"/>
            <w:tcBorders>
              <w:top w:val="single" w:sz="4" w:space="0" w:color="auto"/>
              <w:left w:val="single" w:sz="4" w:space="0" w:color="auto"/>
              <w:bottom w:val="single" w:sz="4" w:space="0" w:color="auto"/>
              <w:right w:val="single" w:sz="4" w:space="0" w:color="auto"/>
            </w:tcBorders>
            <w:noWrap/>
            <w:vAlign w:val="center"/>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Grand Total</w:t>
            </w:r>
          </w:p>
        </w:tc>
      </w:tr>
      <w:tr w:rsidR="00237C18" w:rsidRPr="00497DE8" w:rsidTr="00E50FF3">
        <w:trPr>
          <w:trHeight w:val="62"/>
          <w:jc w:val="center"/>
        </w:trPr>
        <w:tc>
          <w:tcPr>
            <w:tcW w:w="358" w:type="pct"/>
            <w:vMerge/>
            <w:tcBorders>
              <w:left w:val="single" w:sz="4" w:space="0" w:color="auto"/>
              <w:right w:val="single" w:sz="4" w:space="0" w:color="auto"/>
            </w:tcBorders>
          </w:tcPr>
          <w:p w:rsidR="00237C18" w:rsidRPr="00497DE8" w:rsidRDefault="00237C18" w:rsidP="00E50FF3">
            <w:pPr>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NC</w:t>
            </w:r>
          </w:p>
        </w:tc>
        <w:tc>
          <w:tcPr>
            <w:tcW w:w="81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903.3</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368.6</w:t>
            </w:r>
          </w:p>
        </w:tc>
        <w:tc>
          <w:tcPr>
            <w:tcW w:w="702"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1.6</w:t>
            </w:r>
          </w:p>
        </w:tc>
        <w:tc>
          <w:tcPr>
            <w:tcW w:w="923"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0.0</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1273.5</w:t>
            </w:r>
          </w:p>
        </w:tc>
      </w:tr>
      <w:tr w:rsidR="00237C18" w:rsidRPr="00497DE8" w:rsidTr="00E50FF3">
        <w:trPr>
          <w:trHeight w:val="94"/>
          <w:jc w:val="center"/>
        </w:trPr>
        <w:tc>
          <w:tcPr>
            <w:tcW w:w="358" w:type="pct"/>
            <w:vMerge/>
            <w:tcBorders>
              <w:left w:val="single" w:sz="4" w:space="0" w:color="auto"/>
              <w:right w:val="single" w:sz="4" w:space="0" w:color="auto"/>
            </w:tcBorders>
          </w:tcPr>
          <w:p w:rsidR="00237C18" w:rsidRPr="00497DE8" w:rsidRDefault="00237C18" w:rsidP="00E50FF3">
            <w:pPr>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OC</w:t>
            </w:r>
          </w:p>
        </w:tc>
        <w:tc>
          <w:tcPr>
            <w:tcW w:w="81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724.3</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5276.9</w:t>
            </w:r>
          </w:p>
        </w:tc>
        <w:tc>
          <w:tcPr>
            <w:tcW w:w="702"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205.2</w:t>
            </w:r>
          </w:p>
        </w:tc>
        <w:tc>
          <w:tcPr>
            <w:tcW w:w="923"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2.4</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6208.8</w:t>
            </w:r>
          </w:p>
        </w:tc>
      </w:tr>
      <w:tr w:rsidR="00237C18" w:rsidRPr="00497DE8" w:rsidTr="00E50FF3">
        <w:trPr>
          <w:trHeight w:val="98"/>
          <w:jc w:val="center"/>
        </w:trPr>
        <w:tc>
          <w:tcPr>
            <w:tcW w:w="358" w:type="pct"/>
            <w:vMerge/>
            <w:tcBorders>
              <w:left w:val="single" w:sz="4" w:space="0" w:color="auto"/>
              <w:right w:val="single" w:sz="4" w:space="0" w:color="auto"/>
            </w:tcBorders>
          </w:tcPr>
          <w:p w:rsidR="00237C18" w:rsidRPr="00497DE8" w:rsidRDefault="00237C18" w:rsidP="00E50FF3">
            <w:pPr>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DC</w:t>
            </w:r>
          </w:p>
        </w:tc>
        <w:tc>
          <w:tcPr>
            <w:tcW w:w="81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1.9</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828.3</w:t>
            </w:r>
          </w:p>
        </w:tc>
        <w:tc>
          <w:tcPr>
            <w:tcW w:w="702"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700.1</w:t>
            </w:r>
          </w:p>
        </w:tc>
        <w:tc>
          <w:tcPr>
            <w:tcW w:w="923"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48.8</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1579.1</w:t>
            </w:r>
          </w:p>
        </w:tc>
      </w:tr>
      <w:tr w:rsidR="00237C18" w:rsidRPr="00497DE8" w:rsidTr="00E50FF3">
        <w:trPr>
          <w:trHeight w:val="87"/>
          <w:jc w:val="center"/>
        </w:trPr>
        <w:tc>
          <w:tcPr>
            <w:tcW w:w="358" w:type="pct"/>
            <w:vMerge/>
            <w:tcBorders>
              <w:left w:val="single" w:sz="4" w:space="0" w:color="auto"/>
              <w:right w:val="single" w:sz="4" w:space="0" w:color="auto"/>
            </w:tcBorders>
          </w:tcPr>
          <w:p w:rsidR="00237C18" w:rsidRPr="00497DE8" w:rsidRDefault="00237C18" w:rsidP="00E50FF3">
            <w:pPr>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VDC</w:t>
            </w:r>
          </w:p>
        </w:tc>
        <w:tc>
          <w:tcPr>
            <w:tcW w:w="81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0.0</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6.5</w:t>
            </w:r>
          </w:p>
        </w:tc>
        <w:tc>
          <w:tcPr>
            <w:tcW w:w="702"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199.3</w:t>
            </w:r>
          </w:p>
        </w:tc>
        <w:tc>
          <w:tcPr>
            <w:tcW w:w="923"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584.0</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789.8</w:t>
            </w:r>
          </w:p>
        </w:tc>
      </w:tr>
      <w:tr w:rsidR="00237C18" w:rsidRPr="00497DE8" w:rsidTr="00E50FF3">
        <w:trPr>
          <w:trHeight w:val="62"/>
          <w:jc w:val="center"/>
        </w:trPr>
        <w:tc>
          <w:tcPr>
            <w:tcW w:w="358" w:type="pct"/>
            <w:vMerge/>
            <w:tcBorders>
              <w:left w:val="single" w:sz="4" w:space="0" w:color="auto"/>
              <w:bottom w:val="single" w:sz="4" w:space="0" w:color="auto"/>
              <w:right w:val="single" w:sz="4" w:space="0" w:color="auto"/>
            </w:tcBorders>
          </w:tcPr>
          <w:p w:rsidR="00237C18" w:rsidRPr="00497DE8" w:rsidRDefault="00237C18" w:rsidP="00E50FF3">
            <w:pPr>
              <w:jc w:val="center"/>
              <w:rPr>
                <w:rFonts w:ascii="Times New Roman" w:eastAsia="Calibri"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Grand Total</w:t>
            </w:r>
          </w:p>
        </w:tc>
        <w:tc>
          <w:tcPr>
            <w:tcW w:w="81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1629.5</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6480.3</w:t>
            </w:r>
          </w:p>
        </w:tc>
        <w:tc>
          <w:tcPr>
            <w:tcW w:w="702"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1106.2</w:t>
            </w:r>
          </w:p>
        </w:tc>
        <w:tc>
          <w:tcPr>
            <w:tcW w:w="923"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635.2</w:t>
            </w:r>
          </w:p>
        </w:tc>
        <w:tc>
          <w:tcPr>
            <w:tcW w:w="766" w:type="pct"/>
            <w:tcBorders>
              <w:top w:val="single" w:sz="4" w:space="0" w:color="auto"/>
              <w:left w:val="single" w:sz="4" w:space="0" w:color="auto"/>
              <w:bottom w:val="single" w:sz="4" w:space="0" w:color="auto"/>
              <w:right w:val="single" w:sz="4" w:space="0" w:color="auto"/>
            </w:tcBorders>
            <w:noWrap/>
            <w:vAlign w:val="center"/>
            <w:hideMark/>
          </w:tcPr>
          <w:p w:rsidR="00237C18" w:rsidRPr="00497DE8" w:rsidRDefault="00237C18" w:rsidP="00E50FF3">
            <w:pPr>
              <w:jc w:val="center"/>
              <w:rPr>
                <w:rFonts w:ascii="Times New Roman" w:eastAsia="Calibri" w:hAnsi="Times New Roman" w:cs="Times New Roman"/>
                <w:sz w:val="24"/>
                <w:szCs w:val="24"/>
              </w:rPr>
            </w:pPr>
            <w:r w:rsidRPr="00497DE8">
              <w:rPr>
                <w:rFonts w:ascii="Times New Roman" w:eastAsia="Calibri" w:hAnsi="Times New Roman" w:cs="Times New Roman"/>
                <w:sz w:val="24"/>
                <w:szCs w:val="24"/>
              </w:rPr>
              <w:t>9851.2</w:t>
            </w:r>
          </w:p>
        </w:tc>
      </w:tr>
      <w:tr w:rsidR="00237C18" w:rsidRPr="00497DE8" w:rsidTr="00E50FF3">
        <w:trPr>
          <w:trHeight w:val="70"/>
          <w:jc w:val="center"/>
        </w:trPr>
        <w:tc>
          <w:tcPr>
            <w:tcW w:w="5000" w:type="pct"/>
            <w:gridSpan w:val="7"/>
            <w:tcBorders>
              <w:top w:val="single" w:sz="4" w:space="0" w:color="auto"/>
            </w:tcBorders>
          </w:tcPr>
          <w:p w:rsidR="00237C18" w:rsidRPr="00497DE8" w:rsidRDefault="00237C18" w:rsidP="00E50FF3">
            <w:pPr>
              <w:rPr>
                <w:rFonts w:ascii="Times New Roman" w:eastAsia="Calibri" w:hAnsi="Times New Roman" w:cs="Times New Roman"/>
                <w:sz w:val="24"/>
                <w:szCs w:val="24"/>
              </w:rPr>
            </w:pPr>
            <w:r w:rsidRPr="00497DE8">
              <w:rPr>
                <w:rFonts w:ascii="Times New Roman" w:eastAsia="Calibri" w:hAnsi="Times New Roman" w:cs="Times New Roman"/>
                <w:sz w:val="24"/>
                <w:szCs w:val="24"/>
              </w:rPr>
              <w:t>Note: No Canopy (NC); Open Canopy (OC), Dense Canopy (DC), Very Dense Canopy (VDC)</w:t>
            </w:r>
          </w:p>
        </w:tc>
      </w:tr>
    </w:tbl>
    <w:p w:rsidR="00330FAE" w:rsidRDefault="00330FAE" w:rsidP="005519D1">
      <w:pPr>
        <w:spacing w:line="360" w:lineRule="auto"/>
        <w:ind w:firstLine="720"/>
        <w:jc w:val="both"/>
        <w:rPr>
          <w:rFonts w:ascii="Times New Roman" w:hAnsi="Times New Roman" w:cs="Times New Roman"/>
          <w:sz w:val="24"/>
          <w:szCs w:val="24"/>
        </w:rPr>
      </w:pPr>
    </w:p>
    <w:p w:rsidR="000263D4" w:rsidRPr="00E376DE" w:rsidRDefault="00A76C49" w:rsidP="00F639B0">
      <w:pPr>
        <w:pStyle w:val="Caption"/>
        <w:keepNext/>
        <w:ind w:left="720"/>
        <w:jc w:val="both"/>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t>Appendix S1</w:t>
      </w:r>
      <w:r w:rsidR="007F6A9D">
        <w:rPr>
          <w:rFonts w:ascii="Times New Roman" w:hAnsi="Times New Roman" w:cs="Times New Roman"/>
          <w:i w:val="0"/>
          <w:color w:val="auto"/>
          <w:sz w:val="24"/>
          <w:szCs w:val="24"/>
        </w:rPr>
        <w:t>2</w:t>
      </w:r>
      <w:r w:rsidR="000263D4" w:rsidRPr="00AC116E">
        <w:rPr>
          <w:rFonts w:ascii="Times New Roman" w:hAnsi="Times New Roman" w:cs="Times New Roman"/>
          <w:i w:val="0"/>
          <w:color w:val="auto"/>
          <w:sz w:val="24"/>
          <w:szCs w:val="24"/>
        </w:rPr>
        <w:t>.</w:t>
      </w:r>
      <w:r w:rsidR="000263D4" w:rsidRPr="00E376DE">
        <w:rPr>
          <w:rFonts w:ascii="Times New Roman" w:hAnsi="Times New Roman" w:cs="Times New Roman"/>
          <w:i w:val="0"/>
          <w:color w:val="auto"/>
          <w:sz w:val="24"/>
          <w:szCs w:val="24"/>
        </w:rPr>
        <w:t xml:space="preserve"> Percentage covers of protected area (PA) in different potential habitats </w:t>
      </w:r>
      <w:r w:rsidR="00F639B0">
        <w:rPr>
          <w:rFonts w:ascii="Times New Roman" w:hAnsi="Times New Roman" w:cs="Times New Roman"/>
          <w:i w:val="0"/>
          <w:color w:val="auto"/>
          <w:sz w:val="24"/>
          <w:szCs w:val="24"/>
        </w:rPr>
        <w:t xml:space="preserve">  </w:t>
      </w:r>
      <w:r w:rsidR="000263D4" w:rsidRPr="00E376DE">
        <w:rPr>
          <w:rFonts w:ascii="Times New Roman" w:hAnsi="Times New Roman" w:cs="Times New Roman"/>
          <w:i w:val="0"/>
          <w:color w:val="auto"/>
          <w:sz w:val="24"/>
          <w:szCs w:val="24"/>
        </w:rPr>
        <w:t>of gibbon in the study area.</w:t>
      </w:r>
    </w:p>
    <w:tbl>
      <w:tblPr>
        <w:tblW w:w="7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460"/>
        <w:gridCol w:w="1860"/>
        <w:gridCol w:w="2040"/>
      </w:tblGrid>
      <w:tr w:rsidR="00330FAE" w:rsidRPr="00E376DE" w:rsidTr="00812BB5">
        <w:trPr>
          <w:trHeight w:val="674"/>
          <w:jc w:val="center"/>
        </w:trPr>
        <w:tc>
          <w:tcPr>
            <w:tcW w:w="1831" w:type="dxa"/>
            <w:tcBorders>
              <w:top w:val="single" w:sz="4" w:space="0" w:color="auto"/>
            </w:tcBorders>
            <w:shd w:val="clear" w:color="auto" w:fill="auto"/>
            <w:noWrap/>
            <w:vAlign w:val="center"/>
            <w:hideMark/>
          </w:tcPr>
          <w:p w:rsidR="00330FAE" w:rsidRPr="00E376DE" w:rsidRDefault="00330FAE" w:rsidP="00812BB5">
            <w:pPr>
              <w:spacing w:after="0" w:line="240" w:lineRule="auto"/>
              <w:rPr>
                <w:rFonts w:ascii="Times New Roman" w:eastAsia="Times New Roman" w:hAnsi="Times New Roman" w:cs="Times New Roman"/>
                <w:b/>
                <w:color w:val="000000"/>
                <w:sz w:val="24"/>
                <w:szCs w:val="24"/>
              </w:rPr>
            </w:pPr>
            <w:r w:rsidRPr="00E376DE">
              <w:rPr>
                <w:rFonts w:ascii="Times New Roman" w:eastAsia="Times New Roman" w:hAnsi="Times New Roman" w:cs="Times New Roman"/>
                <w:b/>
                <w:color w:val="000000"/>
                <w:sz w:val="24"/>
                <w:szCs w:val="24"/>
              </w:rPr>
              <w:t>Model threshold</w:t>
            </w:r>
          </w:p>
        </w:tc>
        <w:tc>
          <w:tcPr>
            <w:tcW w:w="1460" w:type="dxa"/>
            <w:tcBorders>
              <w:top w:val="single" w:sz="4" w:space="0" w:color="auto"/>
            </w:tcBorders>
            <w:shd w:val="clear" w:color="auto" w:fill="auto"/>
            <w:noWrap/>
            <w:vAlign w:val="center"/>
            <w:hideMark/>
          </w:tcPr>
          <w:p w:rsidR="00330FAE" w:rsidRPr="00E376DE" w:rsidRDefault="00330FAE" w:rsidP="00812BB5">
            <w:pPr>
              <w:spacing w:after="0" w:line="240" w:lineRule="auto"/>
              <w:jc w:val="center"/>
              <w:rPr>
                <w:rFonts w:ascii="Times New Roman" w:eastAsia="Times New Roman" w:hAnsi="Times New Roman" w:cs="Times New Roman"/>
                <w:b/>
                <w:color w:val="000000"/>
                <w:sz w:val="24"/>
                <w:szCs w:val="24"/>
              </w:rPr>
            </w:pPr>
            <w:r w:rsidRPr="00E376DE">
              <w:rPr>
                <w:rFonts w:ascii="Times New Roman" w:eastAsia="Times New Roman" w:hAnsi="Times New Roman" w:cs="Times New Roman"/>
                <w:b/>
                <w:color w:val="000000"/>
                <w:sz w:val="24"/>
                <w:szCs w:val="24"/>
              </w:rPr>
              <w:t>Total Area (km</w:t>
            </w:r>
            <w:r w:rsidRPr="00E376DE">
              <w:rPr>
                <w:rFonts w:ascii="Times New Roman" w:eastAsia="Times New Roman" w:hAnsi="Times New Roman" w:cs="Times New Roman"/>
                <w:b/>
                <w:color w:val="000000"/>
                <w:sz w:val="24"/>
                <w:szCs w:val="24"/>
                <w:vertAlign w:val="superscript"/>
              </w:rPr>
              <w:t>2</w:t>
            </w:r>
            <w:r w:rsidRPr="00E376DE">
              <w:rPr>
                <w:rFonts w:ascii="Times New Roman" w:eastAsia="Times New Roman" w:hAnsi="Times New Roman" w:cs="Times New Roman"/>
                <w:b/>
                <w:color w:val="000000"/>
                <w:sz w:val="24"/>
                <w:szCs w:val="24"/>
              </w:rPr>
              <w:t>)</w:t>
            </w:r>
          </w:p>
        </w:tc>
        <w:tc>
          <w:tcPr>
            <w:tcW w:w="1860" w:type="dxa"/>
            <w:tcBorders>
              <w:top w:val="single" w:sz="4" w:space="0" w:color="auto"/>
            </w:tcBorders>
            <w:shd w:val="clear" w:color="auto" w:fill="auto"/>
            <w:noWrap/>
            <w:vAlign w:val="center"/>
            <w:hideMark/>
          </w:tcPr>
          <w:p w:rsidR="00330FAE" w:rsidRPr="00E376DE" w:rsidRDefault="00330FAE" w:rsidP="00812BB5">
            <w:pPr>
              <w:spacing w:after="0" w:line="240" w:lineRule="auto"/>
              <w:jc w:val="center"/>
              <w:rPr>
                <w:rFonts w:ascii="Times New Roman" w:eastAsia="Times New Roman" w:hAnsi="Times New Roman" w:cs="Times New Roman"/>
                <w:b/>
                <w:color w:val="000000"/>
                <w:sz w:val="24"/>
                <w:szCs w:val="24"/>
              </w:rPr>
            </w:pPr>
            <w:r w:rsidRPr="00E376DE">
              <w:rPr>
                <w:rFonts w:ascii="Times New Roman" w:eastAsia="Times New Roman" w:hAnsi="Times New Roman" w:cs="Times New Roman"/>
                <w:b/>
                <w:color w:val="000000"/>
                <w:sz w:val="24"/>
                <w:szCs w:val="24"/>
              </w:rPr>
              <w:t>Area of PAs (km</w:t>
            </w:r>
            <w:r w:rsidRPr="00E376DE">
              <w:rPr>
                <w:rFonts w:ascii="Times New Roman" w:eastAsia="Times New Roman" w:hAnsi="Times New Roman" w:cs="Times New Roman"/>
                <w:b/>
                <w:color w:val="000000"/>
                <w:sz w:val="24"/>
                <w:szCs w:val="24"/>
                <w:vertAlign w:val="superscript"/>
              </w:rPr>
              <w:t>2</w:t>
            </w:r>
            <w:r w:rsidRPr="00E376DE">
              <w:rPr>
                <w:rFonts w:ascii="Times New Roman" w:eastAsia="Times New Roman" w:hAnsi="Times New Roman" w:cs="Times New Roman"/>
                <w:b/>
                <w:color w:val="000000"/>
                <w:sz w:val="24"/>
                <w:szCs w:val="24"/>
              </w:rPr>
              <w:t>)</w:t>
            </w:r>
          </w:p>
        </w:tc>
        <w:tc>
          <w:tcPr>
            <w:tcW w:w="2040" w:type="dxa"/>
            <w:tcBorders>
              <w:top w:val="single" w:sz="4" w:space="0" w:color="auto"/>
            </w:tcBorders>
            <w:shd w:val="clear" w:color="auto" w:fill="auto"/>
            <w:noWrap/>
            <w:vAlign w:val="center"/>
            <w:hideMark/>
          </w:tcPr>
          <w:p w:rsidR="00330FAE" w:rsidRPr="00E376DE" w:rsidRDefault="00330FAE" w:rsidP="00812BB5">
            <w:pPr>
              <w:spacing w:after="0" w:line="240" w:lineRule="auto"/>
              <w:jc w:val="center"/>
              <w:rPr>
                <w:rFonts w:ascii="Times New Roman" w:eastAsia="Times New Roman" w:hAnsi="Times New Roman" w:cs="Times New Roman"/>
                <w:b/>
                <w:color w:val="000000"/>
                <w:sz w:val="24"/>
                <w:szCs w:val="24"/>
              </w:rPr>
            </w:pPr>
            <w:r w:rsidRPr="00E376DE">
              <w:rPr>
                <w:rFonts w:ascii="Times New Roman" w:eastAsia="Times New Roman" w:hAnsi="Times New Roman" w:cs="Times New Roman"/>
                <w:b/>
                <w:color w:val="000000"/>
                <w:sz w:val="24"/>
                <w:szCs w:val="24"/>
              </w:rPr>
              <w:t>% PA cover</w:t>
            </w:r>
          </w:p>
        </w:tc>
      </w:tr>
      <w:tr w:rsidR="00330FAE" w:rsidRPr="00E376DE" w:rsidTr="00812BB5">
        <w:trPr>
          <w:trHeight w:val="101"/>
          <w:jc w:val="center"/>
        </w:trPr>
        <w:tc>
          <w:tcPr>
            <w:tcW w:w="1831" w:type="dxa"/>
            <w:shd w:val="clear" w:color="auto" w:fill="auto"/>
            <w:noWrap/>
            <w:vAlign w:val="center"/>
            <w:hideMark/>
          </w:tcPr>
          <w:p w:rsidR="00330FAE" w:rsidRPr="00E376DE" w:rsidRDefault="00330FAE" w:rsidP="00812BB5">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High Potential</w:t>
            </w:r>
          </w:p>
        </w:tc>
        <w:tc>
          <w:tcPr>
            <w:tcW w:w="14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6009.1</w:t>
            </w:r>
          </w:p>
        </w:tc>
        <w:tc>
          <w:tcPr>
            <w:tcW w:w="18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1065.27</w:t>
            </w:r>
          </w:p>
        </w:tc>
        <w:tc>
          <w:tcPr>
            <w:tcW w:w="204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17.73</w:t>
            </w:r>
          </w:p>
        </w:tc>
      </w:tr>
      <w:tr w:rsidR="00330FAE" w:rsidRPr="00E376DE" w:rsidTr="00812BB5">
        <w:trPr>
          <w:trHeight w:val="321"/>
          <w:jc w:val="center"/>
        </w:trPr>
        <w:tc>
          <w:tcPr>
            <w:tcW w:w="1831" w:type="dxa"/>
            <w:shd w:val="clear" w:color="auto" w:fill="auto"/>
            <w:noWrap/>
            <w:vAlign w:val="center"/>
            <w:hideMark/>
          </w:tcPr>
          <w:p w:rsidR="00330FAE" w:rsidRPr="00E376DE" w:rsidRDefault="00330FAE" w:rsidP="00812BB5">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Moderate Potential</w:t>
            </w:r>
          </w:p>
        </w:tc>
        <w:tc>
          <w:tcPr>
            <w:tcW w:w="14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1949.3</w:t>
            </w:r>
          </w:p>
        </w:tc>
        <w:tc>
          <w:tcPr>
            <w:tcW w:w="18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536.27</w:t>
            </w:r>
          </w:p>
        </w:tc>
        <w:tc>
          <w:tcPr>
            <w:tcW w:w="204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27.51</w:t>
            </w:r>
          </w:p>
        </w:tc>
      </w:tr>
      <w:tr w:rsidR="00330FAE" w:rsidRPr="00E376DE" w:rsidTr="00812BB5">
        <w:trPr>
          <w:trHeight w:val="300"/>
          <w:jc w:val="center"/>
        </w:trPr>
        <w:tc>
          <w:tcPr>
            <w:tcW w:w="1831" w:type="dxa"/>
            <w:shd w:val="clear" w:color="auto" w:fill="auto"/>
            <w:noWrap/>
            <w:vAlign w:val="center"/>
            <w:hideMark/>
          </w:tcPr>
          <w:p w:rsidR="00330FAE" w:rsidRPr="00E376DE" w:rsidRDefault="00330FAE" w:rsidP="00812BB5">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Low Potential</w:t>
            </w:r>
          </w:p>
        </w:tc>
        <w:tc>
          <w:tcPr>
            <w:tcW w:w="14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1892.7</w:t>
            </w:r>
          </w:p>
        </w:tc>
        <w:tc>
          <w:tcPr>
            <w:tcW w:w="18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449.29</w:t>
            </w:r>
          </w:p>
        </w:tc>
        <w:tc>
          <w:tcPr>
            <w:tcW w:w="204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23.74</w:t>
            </w:r>
          </w:p>
        </w:tc>
      </w:tr>
      <w:tr w:rsidR="00330FAE" w:rsidRPr="00E376DE" w:rsidTr="00812BB5">
        <w:trPr>
          <w:trHeight w:val="123"/>
          <w:jc w:val="center"/>
        </w:trPr>
        <w:tc>
          <w:tcPr>
            <w:tcW w:w="1831" w:type="dxa"/>
            <w:shd w:val="clear" w:color="auto" w:fill="auto"/>
            <w:noWrap/>
            <w:vAlign w:val="center"/>
            <w:hideMark/>
          </w:tcPr>
          <w:p w:rsidR="00330FAE" w:rsidRPr="00E376DE" w:rsidRDefault="00330FAE" w:rsidP="00812BB5">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Total</w:t>
            </w:r>
          </w:p>
        </w:tc>
        <w:tc>
          <w:tcPr>
            <w:tcW w:w="14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9851.2</w:t>
            </w:r>
          </w:p>
        </w:tc>
        <w:tc>
          <w:tcPr>
            <w:tcW w:w="186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2050.83</w:t>
            </w:r>
          </w:p>
        </w:tc>
        <w:tc>
          <w:tcPr>
            <w:tcW w:w="2040" w:type="dxa"/>
            <w:shd w:val="clear" w:color="auto" w:fill="auto"/>
            <w:noWrap/>
            <w:vAlign w:val="center"/>
            <w:hideMark/>
          </w:tcPr>
          <w:p w:rsidR="00330FAE" w:rsidRPr="00E376DE" w:rsidRDefault="00330FAE" w:rsidP="00812BB5">
            <w:pPr>
              <w:spacing w:line="240" w:lineRule="auto"/>
              <w:jc w:val="center"/>
              <w:rPr>
                <w:rFonts w:ascii="Times New Roman" w:hAnsi="Times New Roman" w:cs="Times New Roman"/>
                <w:color w:val="000000"/>
                <w:sz w:val="24"/>
                <w:szCs w:val="24"/>
              </w:rPr>
            </w:pPr>
            <w:r w:rsidRPr="00E376DE">
              <w:rPr>
                <w:rFonts w:ascii="Times New Roman" w:hAnsi="Times New Roman" w:cs="Times New Roman"/>
                <w:color w:val="000000"/>
                <w:sz w:val="24"/>
                <w:szCs w:val="24"/>
              </w:rPr>
              <w:t>20.82</w:t>
            </w:r>
          </w:p>
        </w:tc>
      </w:tr>
    </w:tbl>
    <w:p w:rsidR="005519D1" w:rsidRPr="00E376DE" w:rsidRDefault="005519D1" w:rsidP="005519D1">
      <w:pPr>
        <w:spacing w:line="360" w:lineRule="auto"/>
        <w:ind w:firstLine="720"/>
        <w:jc w:val="both"/>
        <w:rPr>
          <w:rFonts w:ascii="Times New Roman" w:hAnsi="Times New Roman" w:cs="Times New Roman"/>
          <w:sz w:val="24"/>
          <w:szCs w:val="24"/>
        </w:rPr>
      </w:pPr>
    </w:p>
    <w:p w:rsidR="00237C18" w:rsidRDefault="00237C18" w:rsidP="005519D1">
      <w:pPr>
        <w:spacing w:line="360" w:lineRule="auto"/>
        <w:ind w:firstLine="720"/>
        <w:jc w:val="both"/>
        <w:rPr>
          <w:rFonts w:ascii="Times New Roman" w:hAnsi="Times New Roman" w:cs="Times New Roman"/>
          <w:sz w:val="24"/>
          <w:szCs w:val="24"/>
        </w:rPr>
        <w:sectPr w:rsidR="00237C18" w:rsidSect="00B90298">
          <w:pgSz w:w="11906" w:h="16838"/>
          <w:pgMar w:top="1440" w:right="1440" w:bottom="1440" w:left="1440" w:header="706" w:footer="706" w:gutter="0"/>
          <w:cols w:space="708"/>
          <w:docGrid w:linePitch="360"/>
        </w:sectPr>
      </w:pPr>
    </w:p>
    <w:p w:rsidR="005519D1" w:rsidRPr="00E376DE" w:rsidRDefault="005519D1" w:rsidP="005519D1">
      <w:pPr>
        <w:jc w:val="both"/>
        <w:rPr>
          <w:rFonts w:ascii="Times New Roman" w:hAnsi="Times New Roman" w:cs="Times New Roman"/>
          <w:color w:val="FF0000"/>
          <w:sz w:val="24"/>
          <w:szCs w:val="24"/>
        </w:rPr>
      </w:pPr>
    </w:p>
    <w:p w:rsidR="00665C3F" w:rsidRPr="00665C3F" w:rsidRDefault="00665C3F" w:rsidP="00806D7C">
      <w:pPr>
        <w:pStyle w:val="Caption"/>
        <w:keepNext/>
        <w:jc w:val="both"/>
        <w:rPr>
          <w:rFonts w:ascii="Times New Roman" w:hAnsi="Times New Roman" w:cs="Times New Roman"/>
          <w:i w:val="0"/>
          <w:color w:val="auto"/>
          <w:sz w:val="24"/>
        </w:rPr>
      </w:pPr>
      <w:r w:rsidRPr="00665C3F">
        <w:rPr>
          <w:rFonts w:ascii="Times New Roman" w:hAnsi="Times New Roman" w:cs="Times New Roman"/>
          <w:i w:val="0"/>
          <w:color w:val="auto"/>
          <w:sz w:val="24"/>
        </w:rPr>
        <w:t>Appendix S1</w:t>
      </w:r>
      <w:r w:rsidR="007F6A9D">
        <w:rPr>
          <w:rFonts w:ascii="Times New Roman" w:hAnsi="Times New Roman" w:cs="Times New Roman"/>
          <w:i w:val="0"/>
          <w:color w:val="auto"/>
          <w:sz w:val="24"/>
        </w:rPr>
        <w:t>3</w:t>
      </w:r>
      <w:r w:rsidRPr="00665C3F">
        <w:rPr>
          <w:rFonts w:ascii="Times New Roman" w:hAnsi="Times New Roman" w:cs="Times New Roman"/>
          <w:i w:val="0"/>
          <w:color w:val="auto"/>
          <w:sz w:val="24"/>
        </w:rPr>
        <w:t>. Canopy area statistics in protected and non protected zones of the study area and its respective percentage out of different canopy category</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286"/>
        <w:gridCol w:w="1062"/>
        <w:gridCol w:w="1017"/>
        <w:gridCol w:w="1081"/>
        <w:gridCol w:w="1017"/>
        <w:gridCol w:w="1017"/>
        <w:gridCol w:w="1017"/>
        <w:gridCol w:w="1017"/>
      </w:tblGrid>
      <w:tr w:rsidR="00330FAE" w:rsidRPr="00E376DE" w:rsidTr="00713F5E">
        <w:trPr>
          <w:trHeight w:val="413"/>
          <w:jc w:val="center"/>
        </w:trPr>
        <w:tc>
          <w:tcPr>
            <w:tcW w:w="1780" w:type="dxa"/>
            <w:vMerge w:val="restart"/>
            <w:tcBorders>
              <w:top w:val="single" w:sz="4" w:space="0" w:color="auto"/>
            </w:tcBorders>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Year</w:t>
            </w:r>
          </w:p>
        </w:tc>
        <w:tc>
          <w:tcPr>
            <w:tcW w:w="4446" w:type="dxa"/>
            <w:gridSpan w:val="4"/>
            <w:tcBorders>
              <w:top w:val="single" w:sz="4" w:space="0" w:color="auto"/>
            </w:tcBorders>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Protected</w:t>
            </w:r>
          </w:p>
        </w:tc>
        <w:tc>
          <w:tcPr>
            <w:tcW w:w="4068" w:type="dxa"/>
            <w:gridSpan w:val="4"/>
            <w:tcBorders>
              <w:top w:val="single" w:sz="4" w:space="0" w:color="auto"/>
            </w:tcBorders>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Non protected</w:t>
            </w:r>
          </w:p>
        </w:tc>
      </w:tr>
      <w:tr w:rsidR="00330FAE" w:rsidRPr="00E376DE" w:rsidTr="00713F5E">
        <w:trPr>
          <w:trHeight w:val="998"/>
          <w:jc w:val="center"/>
        </w:trPr>
        <w:tc>
          <w:tcPr>
            <w:tcW w:w="1780" w:type="dxa"/>
            <w:vMerge/>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No Canopy</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Open Canopy</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Dense Canopy</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Very Dense Canopy</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No Canopy</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Open Canopy</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Dense Canopy</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Very Dense Canopy</w:t>
            </w:r>
          </w:p>
        </w:tc>
      </w:tr>
      <w:tr w:rsidR="00330FAE" w:rsidRPr="00E376DE" w:rsidTr="00713F5E">
        <w:trPr>
          <w:trHeight w:val="422"/>
          <w:jc w:val="center"/>
        </w:trPr>
        <w:tc>
          <w:tcPr>
            <w:tcW w:w="10294" w:type="dxa"/>
            <w:gridSpan w:val="9"/>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 xml:space="preserve"> Area (km</w:t>
            </w:r>
            <w:r w:rsidRPr="00E376DE">
              <w:rPr>
                <w:rFonts w:ascii="Times New Roman" w:eastAsia="Times New Roman" w:hAnsi="Times New Roman" w:cs="Times New Roman"/>
                <w:b/>
                <w:bCs/>
                <w:color w:val="000000"/>
                <w:sz w:val="24"/>
                <w:szCs w:val="24"/>
                <w:vertAlign w:val="superscript"/>
              </w:rPr>
              <w:t>2</w:t>
            </w:r>
            <w:r w:rsidRPr="00E376DE">
              <w:rPr>
                <w:rFonts w:ascii="Times New Roman" w:eastAsia="Times New Roman" w:hAnsi="Times New Roman" w:cs="Times New Roman"/>
                <w:b/>
                <w:bCs/>
                <w:color w:val="000000"/>
                <w:sz w:val="24"/>
                <w:szCs w:val="24"/>
              </w:rPr>
              <w:t>)</w:t>
            </w:r>
          </w:p>
        </w:tc>
      </w:tr>
      <w:tr w:rsidR="00330FAE" w:rsidRPr="00E376DE" w:rsidTr="00713F5E">
        <w:trPr>
          <w:trHeight w:val="368"/>
          <w:jc w:val="center"/>
        </w:trPr>
        <w:tc>
          <w:tcPr>
            <w:tcW w:w="1780" w:type="dxa"/>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2008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112.19</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715.47</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470.36</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617.38</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1517.31</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5764.83</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635.84</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17.82</w:t>
            </w:r>
          </w:p>
        </w:tc>
      </w:tr>
      <w:tr w:rsidR="00330FAE" w:rsidRPr="00E376DE" w:rsidTr="00713F5E">
        <w:trPr>
          <w:trHeight w:val="440"/>
          <w:jc w:val="center"/>
        </w:trPr>
        <w:tc>
          <w:tcPr>
            <w:tcW w:w="1780" w:type="dxa"/>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2018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220.42</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549.41</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395.01</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750.55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1053.08</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5659.39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1184.09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39.25</w:t>
            </w:r>
          </w:p>
        </w:tc>
      </w:tr>
      <w:tr w:rsidR="00330FAE" w:rsidRPr="00E376DE" w:rsidTr="00713F5E">
        <w:trPr>
          <w:trHeight w:val="440"/>
          <w:jc w:val="center"/>
        </w:trPr>
        <w:tc>
          <w:tcPr>
            <w:tcW w:w="1780" w:type="dxa"/>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b/>
                <w:bCs/>
                <w:color w:val="000000"/>
                <w:sz w:val="24"/>
                <w:szCs w:val="24"/>
              </w:rPr>
            </w:pPr>
            <w:r w:rsidRPr="00E376DE">
              <w:rPr>
                <w:rFonts w:ascii="Times New Roman" w:eastAsia="Times New Roman" w:hAnsi="Times New Roman" w:cs="Times New Roman"/>
                <w:b/>
                <w:bCs/>
                <w:color w:val="000000"/>
                <w:sz w:val="24"/>
                <w:szCs w:val="24"/>
              </w:rPr>
              <w:t>2008-2018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-108.23</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166.06</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75.35</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-133.17</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464.23</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105.44</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-548.25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-21.43</w:t>
            </w:r>
          </w:p>
        </w:tc>
      </w:tr>
      <w:tr w:rsidR="00330FAE" w:rsidRPr="00E376DE" w:rsidTr="00713F5E">
        <w:trPr>
          <w:trHeight w:val="530"/>
          <w:jc w:val="center"/>
        </w:trPr>
        <w:tc>
          <w:tcPr>
            <w:tcW w:w="10294" w:type="dxa"/>
            <w:gridSpan w:val="9"/>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color w:val="000000"/>
                <w:sz w:val="24"/>
                <w:szCs w:val="24"/>
              </w:rPr>
            </w:pPr>
            <w:r w:rsidRPr="00E376DE">
              <w:rPr>
                <w:rFonts w:ascii="Times New Roman" w:eastAsia="Times New Roman" w:hAnsi="Times New Roman" w:cs="Times New Roman"/>
                <w:b/>
                <w:bCs/>
                <w:color w:val="000000"/>
                <w:sz w:val="24"/>
                <w:szCs w:val="24"/>
              </w:rPr>
              <w:t>Percentage canopy out of total category area</w:t>
            </w:r>
          </w:p>
        </w:tc>
      </w:tr>
      <w:tr w:rsidR="00330FAE" w:rsidRPr="00E376DE" w:rsidTr="00713F5E">
        <w:trPr>
          <w:trHeight w:val="440"/>
          <w:jc w:val="center"/>
        </w:trPr>
        <w:tc>
          <w:tcPr>
            <w:tcW w:w="1780" w:type="dxa"/>
            <w:shd w:val="clear" w:color="auto" w:fill="auto"/>
            <w:noWrap/>
            <w:vAlign w:val="center"/>
            <w:hideMark/>
          </w:tcPr>
          <w:p w:rsidR="00330FAE" w:rsidRPr="00713F5E" w:rsidRDefault="00330FAE" w:rsidP="00713F5E">
            <w:pPr>
              <w:spacing w:after="0" w:line="240" w:lineRule="auto"/>
              <w:rPr>
                <w:rFonts w:ascii="Times New Roman" w:eastAsia="Times New Roman" w:hAnsi="Times New Roman" w:cs="Times New Roman"/>
                <w:b/>
                <w:color w:val="000000"/>
                <w:sz w:val="24"/>
                <w:szCs w:val="24"/>
              </w:rPr>
            </w:pPr>
            <w:r w:rsidRPr="00713F5E">
              <w:rPr>
                <w:rFonts w:ascii="Times New Roman" w:eastAsia="Times New Roman" w:hAnsi="Times New Roman" w:cs="Times New Roman"/>
                <w:b/>
                <w:color w:val="000000"/>
                <w:sz w:val="24"/>
                <w:szCs w:val="24"/>
              </w:rPr>
              <w:t>2008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6.88</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11.04</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42.52</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97.19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93.12</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88.96</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57.48</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2.81</w:t>
            </w:r>
          </w:p>
        </w:tc>
      </w:tr>
      <w:tr w:rsidR="00330FAE" w:rsidRPr="00E376DE" w:rsidTr="00713F5E">
        <w:trPr>
          <w:trHeight w:val="530"/>
          <w:jc w:val="center"/>
        </w:trPr>
        <w:tc>
          <w:tcPr>
            <w:tcW w:w="1780" w:type="dxa"/>
            <w:shd w:val="clear" w:color="auto" w:fill="auto"/>
            <w:noWrap/>
            <w:vAlign w:val="center"/>
            <w:hideMark/>
          </w:tcPr>
          <w:p w:rsidR="00330FAE" w:rsidRPr="00713F5E" w:rsidRDefault="00330FAE" w:rsidP="00713F5E">
            <w:pPr>
              <w:spacing w:after="0" w:line="240" w:lineRule="auto"/>
              <w:rPr>
                <w:rFonts w:ascii="Times New Roman" w:eastAsia="Times New Roman" w:hAnsi="Times New Roman" w:cs="Times New Roman"/>
                <w:b/>
                <w:bCs/>
                <w:color w:val="000000"/>
                <w:sz w:val="24"/>
                <w:szCs w:val="24"/>
              </w:rPr>
            </w:pPr>
            <w:r w:rsidRPr="00713F5E">
              <w:rPr>
                <w:rFonts w:ascii="Times New Roman" w:eastAsia="Times New Roman" w:hAnsi="Times New Roman" w:cs="Times New Roman"/>
                <w:b/>
                <w:bCs/>
                <w:color w:val="000000"/>
                <w:sz w:val="24"/>
                <w:szCs w:val="24"/>
              </w:rPr>
              <w:t>2018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17.31</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8.85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25.01</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95.03</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82.69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91.15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74.99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4.97</w:t>
            </w:r>
          </w:p>
        </w:tc>
      </w:tr>
      <w:tr w:rsidR="00330FAE" w:rsidRPr="00E376DE" w:rsidTr="00713F5E">
        <w:trPr>
          <w:trHeight w:val="530"/>
          <w:jc w:val="center"/>
        </w:trPr>
        <w:tc>
          <w:tcPr>
            <w:tcW w:w="10294" w:type="dxa"/>
            <w:gridSpan w:val="9"/>
            <w:shd w:val="clear" w:color="auto" w:fill="auto"/>
            <w:noWrap/>
            <w:vAlign w:val="center"/>
            <w:hideMark/>
          </w:tcPr>
          <w:p w:rsidR="00330FAE" w:rsidRPr="00E376DE" w:rsidRDefault="00330FAE" w:rsidP="00713F5E">
            <w:pPr>
              <w:spacing w:after="0" w:line="240" w:lineRule="auto"/>
              <w:rPr>
                <w:rFonts w:ascii="Times New Roman" w:eastAsia="Times New Roman" w:hAnsi="Times New Roman" w:cs="Times New Roman"/>
                <w:b/>
                <w:color w:val="000000"/>
                <w:sz w:val="24"/>
                <w:szCs w:val="24"/>
              </w:rPr>
            </w:pPr>
            <w:r w:rsidRPr="00E376DE">
              <w:rPr>
                <w:rFonts w:ascii="Times New Roman" w:eastAsia="Times New Roman" w:hAnsi="Times New Roman" w:cs="Times New Roman"/>
                <w:b/>
                <w:color w:val="000000"/>
                <w:sz w:val="24"/>
                <w:szCs w:val="24"/>
              </w:rPr>
              <w:t>Percentage  canopy out of the total study area</w:t>
            </w:r>
          </w:p>
        </w:tc>
      </w:tr>
      <w:tr w:rsidR="00330FAE" w:rsidRPr="00E376DE" w:rsidTr="00713F5E">
        <w:trPr>
          <w:trHeight w:val="530"/>
          <w:jc w:val="center"/>
        </w:trPr>
        <w:tc>
          <w:tcPr>
            <w:tcW w:w="1780" w:type="dxa"/>
            <w:shd w:val="clear" w:color="auto" w:fill="auto"/>
            <w:noWrap/>
            <w:vAlign w:val="center"/>
            <w:hideMark/>
          </w:tcPr>
          <w:p w:rsidR="00330FAE" w:rsidRPr="00713F5E" w:rsidRDefault="00330FAE" w:rsidP="00713F5E">
            <w:pPr>
              <w:spacing w:after="0" w:line="240" w:lineRule="auto"/>
              <w:rPr>
                <w:rFonts w:ascii="Times New Roman" w:eastAsia="Times New Roman" w:hAnsi="Times New Roman" w:cs="Times New Roman"/>
                <w:b/>
                <w:color w:val="000000"/>
                <w:sz w:val="24"/>
                <w:szCs w:val="24"/>
              </w:rPr>
            </w:pPr>
            <w:r w:rsidRPr="00713F5E">
              <w:rPr>
                <w:rFonts w:ascii="Times New Roman" w:eastAsia="Times New Roman" w:hAnsi="Times New Roman" w:cs="Times New Roman"/>
                <w:b/>
                <w:color w:val="000000"/>
                <w:sz w:val="24"/>
                <w:szCs w:val="24"/>
              </w:rPr>
              <w:t>2008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1.14</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7.26</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4.77</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6.27</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15.40</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58.52</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6.45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0.18</w:t>
            </w:r>
          </w:p>
        </w:tc>
      </w:tr>
      <w:tr w:rsidR="00330FAE" w:rsidRPr="00E376DE" w:rsidTr="00713F5E">
        <w:trPr>
          <w:trHeight w:val="440"/>
          <w:jc w:val="center"/>
        </w:trPr>
        <w:tc>
          <w:tcPr>
            <w:tcW w:w="1780" w:type="dxa"/>
            <w:shd w:val="clear" w:color="auto" w:fill="auto"/>
            <w:noWrap/>
            <w:vAlign w:val="center"/>
            <w:hideMark/>
          </w:tcPr>
          <w:p w:rsidR="00330FAE" w:rsidRPr="00713F5E" w:rsidRDefault="00330FAE" w:rsidP="00713F5E">
            <w:pPr>
              <w:spacing w:after="0" w:line="240" w:lineRule="auto"/>
              <w:rPr>
                <w:rFonts w:ascii="Times New Roman" w:eastAsia="Times New Roman" w:hAnsi="Times New Roman" w:cs="Times New Roman"/>
                <w:b/>
                <w:bCs/>
                <w:color w:val="000000"/>
                <w:sz w:val="24"/>
                <w:szCs w:val="24"/>
              </w:rPr>
            </w:pPr>
            <w:r w:rsidRPr="00713F5E">
              <w:rPr>
                <w:rFonts w:ascii="Times New Roman" w:eastAsia="Times New Roman" w:hAnsi="Times New Roman" w:cs="Times New Roman"/>
                <w:b/>
                <w:bCs/>
                <w:color w:val="000000"/>
                <w:sz w:val="24"/>
                <w:szCs w:val="24"/>
              </w:rPr>
              <w:t>2018</w:t>
            </w:r>
          </w:p>
        </w:tc>
        <w:tc>
          <w:tcPr>
            <w:tcW w:w="1286"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2.24</w:t>
            </w:r>
          </w:p>
        </w:tc>
        <w:tc>
          <w:tcPr>
            <w:tcW w:w="1062"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5.58</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4.01</w:t>
            </w:r>
          </w:p>
        </w:tc>
        <w:tc>
          <w:tcPr>
            <w:tcW w:w="1081"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7.62</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10.69</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57.45</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12.02</w:t>
            </w:r>
          </w:p>
        </w:tc>
        <w:tc>
          <w:tcPr>
            <w:tcW w:w="1017" w:type="dxa"/>
            <w:shd w:val="clear" w:color="auto" w:fill="auto"/>
            <w:noWrap/>
            <w:vAlign w:val="center"/>
            <w:hideMark/>
          </w:tcPr>
          <w:p w:rsidR="00330FAE" w:rsidRPr="00E376DE" w:rsidRDefault="00330FAE" w:rsidP="00713F5E">
            <w:pPr>
              <w:spacing w:after="0" w:line="240" w:lineRule="auto"/>
              <w:jc w:val="center"/>
              <w:rPr>
                <w:rFonts w:ascii="Times New Roman" w:eastAsia="Times New Roman" w:hAnsi="Times New Roman" w:cs="Times New Roman"/>
                <w:color w:val="000000"/>
                <w:sz w:val="24"/>
                <w:szCs w:val="24"/>
              </w:rPr>
            </w:pPr>
            <w:r w:rsidRPr="00E376DE">
              <w:rPr>
                <w:rFonts w:ascii="Times New Roman" w:eastAsia="Times New Roman" w:hAnsi="Times New Roman" w:cs="Times New Roman"/>
                <w:color w:val="000000"/>
                <w:sz w:val="24"/>
                <w:szCs w:val="24"/>
              </w:rPr>
              <w:t>0.40</w:t>
            </w:r>
          </w:p>
        </w:tc>
      </w:tr>
    </w:tbl>
    <w:p w:rsidR="005519D1" w:rsidRPr="00E376DE" w:rsidRDefault="005519D1" w:rsidP="005519D1">
      <w:pPr>
        <w:rPr>
          <w:rFonts w:ascii="Times New Roman" w:hAnsi="Times New Roman" w:cs="Times New Roman"/>
          <w:sz w:val="24"/>
          <w:szCs w:val="24"/>
        </w:rPr>
      </w:pPr>
    </w:p>
    <w:p w:rsidR="001F5E0F" w:rsidRPr="00E376DE" w:rsidRDefault="001F5E0F" w:rsidP="00DF1985">
      <w:pPr>
        <w:spacing w:line="360" w:lineRule="auto"/>
        <w:jc w:val="both"/>
        <w:rPr>
          <w:rFonts w:ascii="Times New Roman" w:hAnsi="Times New Roman" w:cs="Times New Roman"/>
          <w:sz w:val="24"/>
          <w:szCs w:val="24"/>
        </w:rPr>
      </w:pPr>
    </w:p>
    <w:p w:rsidR="00237C18" w:rsidRDefault="00237C18">
      <w:pPr>
        <w:rPr>
          <w:rFonts w:ascii="Times New Roman" w:hAnsi="Times New Roman" w:cs="Times New Roman"/>
          <w:sz w:val="24"/>
          <w:szCs w:val="24"/>
        </w:rPr>
      </w:pPr>
      <w:r>
        <w:rPr>
          <w:rFonts w:ascii="Times New Roman" w:hAnsi="Times New Roman" w:cs="Times New Roman"/>
          <w:sz w:val="24"/>
          <w:szCs w:val="24"/>
        </w:rPr>
        <w:br w:type="page"/>
      </w:r>
    </w:p>
    <w:p w:rsidR="00237C18" w:rsidRDefault="00237C18" w:rsidP="00237C18">
      <w:pPr>
        <w:pStyle w:val="Caption"/>
        <w:keepNext/>
        <w:jc w:val="both"/>
        <w:rPr>
          <w:rFonts w:ascii="Times New Roman" w:hAnsi="Times New Roman" w:cs="Times New Roman"/>
          <w:i w:val="0"/>
          <w:color w:val="auto"/>
          <w:sz w:val="24"/>
          <w:szCs w:val="24"/>
        </w:rPr>
        <w:sectPr w:rsidR="00237C18" w:rsidSect="00B90298">
          <w:pgSz w:w="11906" w:h="16838"/>
          <w:pgMar w:top="1440" w:right="1440" w:bottom="1440" w:left="1440" w:header="706" w:footer="706" w:gutter="0"/>
          <w:cols w:space="708"/>
          <w:docGrid w:linePitch="360"/>
        </w:sectPr>
      </w:pPr>
    </w:p>
    <w:p w:rsidR="00237C18" w:rsidRPr="00497DE8" w:rsidRDefault="00A76C49" w:rsidP="00237C18">
      <w:pPr>
        <w:pStyle w:val="Caption"/>
        <w:keepNext/>
        <w:jc w:val="both"/>
        <w:rPr>
          <w:rFonts w:ascii="Times New Roman" w:hAnsi="Times New Roman" w:cs="Times New Roman"/>
          <w:i w:val="0"/>
          <w:color w:val="auto"/>
          <w:sz w:val="24"/>
          <w:szCs w:val="24"/>
        </w:rPr>
      </w:pPr>
      <w:r w:rsidRPr="00AC116E">
        <w:rPr>
          <w:rFonts w:ascii="Times New Roman" w:hAnsi="Times New Roman" w:cs="Times New Roman"/>
          <w:i w:val="0"/>
          <w:color w:val="auto"/>
          <w:sz w:val="24"/>
          <w:szCs w:val="24"/>
        </w:rPr>
        <w:lastRenderedPageBreak/>
        <w:t>Appendix S1</w:t>
      </w:r>
      <w:r w:rsidR="007F6A9D">
        <w:rPr>
          <w:rFonts w:ascii="Times New Roman" w:hAnsi="Times New Roman" w:cs="Times New Roman"/>
          <w:i w:val="0"/>
          <w:color w:val="auto"/>
          <w:sz w:val="24"/>
          <w:szCs w:val="24"/>
        </w:rPr>
        <w:t>4</w:t>
      </w:r>
      <w:r w:rsidR="00237C18" w:rsidRPr="00AC116E">
        <w:rPr>
          <w:rFonts w:ascii="Times New Roman" w:hAnsi="Times New Roman" w:cs="Times New Roman"/>
          <w:i w:val="0"/>
          <w:color w:val="auto"/>
          <w:sz w:val="24"/>
          <w:szCs w:val="24"/>
        </w:rPr>
        <w:t>.</w:t>
      </w:r>
      <w:r w:rsidR="00237C18" w:rsidRPr="00497DE8">
        <w:rPr>
          <w:rFonts w:ascii="Times New Roman" w:hAnsi="Times New Roman" w:cs="Times New Roman"/>
          <w:i w:val="0"/>
          <w:color w:val="auto"/>
          <w:sz w:val="24"/>
          <w:szCs w:val="24"/>
        </w:rPr>
        <w:t xml:space="preserve"> Fragmentation statistics of the identified forest fragments in the high potential gibbon habitat in the Upper Brahmaputra landscape. Patches are identified from Dense and Very Dense Canopy forest map of 2008 and 2018.</w:t>
      </w:r>
    </w:p>
    <w:tbl>
      <w:tblPr>
        <w:tblW w:w="9163" w:type="dxa"/>
        <w:tblInd w:w="98" w:type="dxa"/>
        <w:tblBorders>
          <w:insideH w:val="single" w:sz="4" w:space="0" w:color="auto"/>
        </w:tblBorders>
        <w:tblLook w:val="04A0" w:firstRow="1" w:lastRow="0" w:firstColumn="1" w:lastColumn="0" w:noHBand="0" w:noVBand="1"/>
      </w:tblPr>
      <w:tblGrid>
        <w:gridCol w:w="2782"/>
        <w:gridCol w:w="1530"/>
        <w:gridCol w:w="1530"/>
        <w:gridCol w:w="1620"/>
        <w:gridCol w:w="1701"/>
      </w:tblGrid>
      <w:tr w:rsidR="00237C18" w:rsidRPr="00497DE8" w:rsidTr="00E50FF3">
        <w:trPr>
          <w:trHeight w:val="375"/>
        </w:trPr>
        <w:tc>
          <w:tcPr>
            <w:tcW w:w="2782" w:type="dxa"/>
            <w:vMerge w:val="restart"/>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Class metrics</w:t>
            </w:r>
          </w:p>
        </w:tc>
        <w:tc>
          <w:tcPr>
            <w:tcW w:w="3060" w:type="dxa"/>
            <w:gridSpan w:val="2"/>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2008</w:t>
            </w:r>
          </w:p>
        </w:tc>
        <w:tc>
          <w:tcPr>
            <w:tcW w:w="3321" w:type="dxa"/>
            <w:gridSpan w:val="2"/>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2018</w:t>
            </w:r>
          </w:p>
        </w:tc>
      </w:tr>
      <w:tr w:rsidR="00237C18" w:rsidRPr="00497DE8" w:rsidTr="00E50FF3">
        <w:trPr>
          <w:trHeight w:val="300"/>
        </w:trPr>
        <w:tc>
          <w:tcPr>
            <w:tcW w:w="2782" w:type="dxa"/>
            <w:vMerge/>
            <w:tcBorders>
              <w:top w:val="single" w:sz="4" w:space="0" w:color="auto"/>
            </w:tcBorders>
            <w:vAlign w:val="center"/>
            <w:hideMark/>
          </w:tcPr>
          <w:p w:rsidR="00237C18" w:rsidRPr="00497DE8" w:rsidRDefault="00237C18" w:rsidP="00E50FF3">
            <w:pPr>
              <w:spacing w:after="0" w:line="360" w:lineRule="auto"/>
              <w:rPr>
                <w:rFonts w:ascii="Times New Roman" w:eastAsia="Times New Roman" w:hAnsi="Times New Roman" w:cs="Times New Roman"/>
                <w:b/>
                <w:bCs/>
                <w:sz w:val="24"/>
                <w:szCs w:val="24"/>
              </w:rPr>
            </w:pPr>
          </w:p>
        </w:tc>
        <w:tc>
          <w:tcPr>
            <w:tcW w:w="1530" w:type="dxa"/>
            <w:tcBorders>
              <w:top w:val="single" w:sz="4" w:space="0" w:color="auto"/>
            </w:tcBorders>
            <w:shd w:val="clear" w:color="auto" w:fill="auto"/>
            <w:noWrap/>
            <w:vAlign w:val="center"/>
            <w:hideMark/>
          </w:tcPr>
          <w:p w:rsidR="00237C18" w:rsidRPr="00497DE8" w:rsidRDefault="00237C18" w:rsidP="00E50FF3">
            <w:pPr>
              <w:spacing w:after="0"/>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 xml:space="preserve"> Dense Canopy </w:t>
            </w:r>
          </w:p>
        </w:tc>
        <w:tc>
          <w:tcPr>
            <w:tcW w:w="1530" w:type="dxa"/>
            <w:tcBorders>
              <w:top w:val="single" w:sz="4" w:space="0" w:color="auto"/>
            </w:tcBorders>
            <w:shd w:val="clear" w:color="auto" w:fill="auto"/>
            <w:noWrap/>
            <w:vAlign w:val="center"/>
            <w:hideMark/>
          </w:tcPr>
          <w:p w:rsidR="00237C18" w:rsidRPr="00497DE8" w:rsidRDefault="00237C18" w:rsidP="00E50FF3">
            <w:pPr>
              <w:spacing w:after="0"/>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 xml:space="preserve"> Very Dense Canopy </w:t>
            </w:r>
          </w:p>
        </w:tc>
        <w:tc>
          <w:tcPr>
            <w:tcW w:w="1620" w:type="dxa"/>
            <w:tcBorders>
              <w:top w:val="single" w:sz="4" w:space="0" w:color="auto"/>
            </w:tcBorders>
            <w:shd w:val="clear" w:color="auto" w:fill="auto"/>
            <w:noWrap/>
            <w:vAlign w:val="center"/>
            <w:hideMark/>
          </w:tcPr>
          <w:p w:rsidR="00237C18" w:rsidRPr="00497DE8" w:rsidRDefault="00237C18" w:rsidP="00E50FF3">
            <w:pPr>
              <w:spacing w:after="0"/>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 xml:space="preserve"> Dense Canopy </w:t>
            </w:r>
          </w:p>
        </w:tc>
        <w:tc>
          <w:tcPr>
            <w:tcW w:w="1701" w:type="dxa"/>
            <w:tcBorders>
              <w:top w:val="single" w:sz="4" w:space="0" w:color="auto"/>
            </w:tcBorders>
            <w:shd w:val="clear" w:color="auto" w:fill="auto"/>
            <w:noWrap/>
            <w:vAlign w:val="center"/>
            <w:hideMark/>
          </w:tcPr>
          <w:p w:rsidR="00237C18" w:rsidRPr="00497DE8" w:rsidRDefault="00237C18" w:rsidP="00E50FF3">
            <w:pPr>
              <w:spacing w:after="0"/>
              <w:jc w:val="center"/>
              <w:rPr>
                <w:rFonts w:ascii="Times New Roman" w:eastAsia="Times New Roman" w:hAnsi="Times New Roman" w:cs="Times New Roman"/>
                <w:b/>
                <w:bCs/>
                <w:sz w:val="24"/>
                <w:szCs w:val="24"/>
              </w:rPr>
            </w:pPr>
            <w:r w:rsidRPr="00497DE8">
              <w:rPr>
                <w:rFonts w:ascii="Times New Roman" w:eastAsia="Times New Roman" w:hAnsi="Times New Roman" w:cs="Times New Roman"/>
                <w:b/>
                <w:bCs/>
                <w:sz w:val="24"/>
                <w:szCs w:val="24"/>
              </w:rPr>
              <w:t xml:space="preserve"> Very Dense Canopy </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Class Area (km</w:t>
            </w:r>
            <w:r w:rsidRPr="00497DE8">
              <w:rPr>
                <w:rFonts w:ascii="Times New Roman" w:eastAsia="Times New Roman" w:hAnsi="Times New Roman" w:cs="Times New Roman"/>
                <w:sz w:val="24"/>
                <w:szCs w:val="24"/>
                <w:vertAlign w:val="superscript"/>
              </w:rPr>
              <w:t>2</w:t>
            </w:r>
            <w:r w:rsidRPr="00497DE8">
              <w:rPr>
                <w:rFonts w:ascii="Times New Roman" w:eastAsia="Times New Roman" w:hAnsi="Times New Roman" w:cs="Times New Roman"/>
                <w:sz w:val="24"/>
                <w:szCs w:val="24"/>
              </w:rPr>
              <w:t>)</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777.81</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553.69</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1221.88</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69287.50</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Percent of Landscape (%)</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58.42</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41.58</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63.81</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36.19</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Number of patches</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658</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69</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840</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71</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Patch Density</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0.49</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0.05</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0.44</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0.04</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Largest Patch Index (%)</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5.22</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11.35</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18.42</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9.46</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Total Edge (km)</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776.25</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776.25</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729.50</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729.50</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Edge Density (m/ha)</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5.83</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5.83</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3.81</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3.81</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Landscape Shape Index</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31.77</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9.83</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35.84</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8.59</w:t>
            </w:r>
          </w:p>
        </w:tc>
      </w:tr>
      <w:tr w:rsidR="00237C18" w:rsidRPr="00497DE8" w:rsidTr="00E50FF3">
        <w:trPr>
          <w:trHeight w:val="300"/>
        </w:trPr>
        <w:tc>
          <w:tcPr>
            <w:tcW w:w="2782" w:type="dxa"/>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Mean Patch Size (km</w:t>
            </w:r>
            <w:r w:rsidRPr="00497DE8">
              <w:rPr>
                <w:rFonts w:ascii="Times New Roman" w:eastAsia="Times New Roman" w:hAnsi="Times New Roman" w:cs="Times New Roman"/>
                <w:sz w:val="24"/>
                <w:szCs w:val="24"/>
                <w:vertAlign w:val="superscript"/>
              </w:rPr>
              <w:t>2</w:t>
            </w:r>
            <w:r w:rsidRPr="00497DE8">
              <w:rPr>
                <w:rFonts w:ascii="Times New Roman" w:eastAsia="Times New Roman" w:hAnsi="Times New Roman" w:cs="Times New Roman"/>
                <w:sz w:val="24"/>
                <w:szCs w:val="24"/>
              </w:rPr>
              <w:t>)</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1.18</w:t>
            </w:r>
          </w:p>
        </w:tc>
        <w:tc>
          <w:tcPr>
            <w:tcW w:w="153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8.02</w:t>
            </w:r>
          </w:p>
        </w:tc>
        <w:tc>
          <w:tcPr>
            <w:tcW w:w="1620"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1.45</w:t>
            </w:r>
          </w:p>
        </w:tc>
        <w:tc>
          <w:tcPr>
            <w:tcW w:w="1701" w:type="dxa"/>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9.76</w:t>
            </w:r>
          </w:p>
        </w:tc>
      </w:tr>
      <w:tr w:rsidR="00237C18" w:rsidRPr="00497DE8" w:rsidTr="00E50FF3">
        <w:trPr>
          <w:trHeight w:val="300"/>
        </w:trPr>
        <w:tc>
          <w:tcPr>
            <w:tcW w:w="2782" w:type="dxa"/>
            <w:tcBorders>
              <w:bottom w:val="single" w:sz="4" w:space="0" w:color="auto"/>
            </w:tcBorders>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Mean Contiguity Index</w:t>
            </w:r>
          </w:p>
        </w:tc>
        <w:tc>
          <w:tcPr>
            <w:tcW w:w="1530" w:type="dxa"/>
            <w:tcBorders>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0.22</w:t>
            </w:r>
          </w:p>
        </w:tc>
        <w:tc>
          <w:tcPr>
            <w:tcW w:w="1530" w:type="dxa"/>
            <w:tcBorders>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0.36</w:t>
            </w:r>
          </w:p>
        </w:tc>
        <w:tc>
          <w:tcPr>
            <w:tcW w:w="1620" w:type="dxa"/>
            <w:tcBorders>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0.23</w:t>
            </w:r>
          </w:p>
        </w:tc>
        <w:tc>
          <w:tcPr>
            <w:tcW w:w="1701" w:type="dxa"/>
            <w:tcBorders>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0.34</w:t>
            </w:r>
          </w:p>
        </w:tc>
      </w:tr>
      <w:tr w:rsidR="00237C18" w:rsidRPr="00497DE8" w:rsidTr="00E50FF3">
        <w:trPr>
          <w:trHeight w:val="300"/>
        </w:trPr>
        <w:tc>
          <w:tcPr>
            <w:tcW w:w="2782" w:type="dxa"/>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Mean Euclidian Nearest Neighbour Distance (m)</w:t>
            </w:r>
          </w:p>
        </w:tc>
        <w:tc>
          <w:tcPr>
            <w:tcW w:w="1530" w:type="dxa"/>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864.83</w:t>
            </w:r>
          </w:p>
        </w:tc>
        <w:tc>
          <w:tcPr>
            <w:tcW w:w="1530" w:type="dxa"/>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1242.10</w:t>
            </w:r>
          </w:p>
        </w:tc>
        <w:tc>
          <w:tcPr>
            <w:tcW w:w="1620" w:type="dxa"/>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818.99</w:t>
            </w:r>
          </w:p>
        </w:tc>
        <w:tc>
          <w:tcPr>
            <w:tcW w:w="1701" w:type="dxa"/>
            <w:tcBorders>
              <w:top w:val="single" w:sz="4" w:space="0" w:color="auto"/>
              <w:bottom w:val="single" w:sz="4" w:space="0" w:color="auto"/>
            </w:tcBorders>
            <w:shd w:val="clear" w:color="auto" w:fill="auto"/>
            <w:noWrap/>
            <w:vAlign w:val="center"/>
            <w:hideMark/>
          </w:tcPr>
          <w:p w:rsidR="00237C18" w:rsidRPr="00497DE8" w:rsidRDefault="00237C18" w:rsidP="00E50FF3">
            <w:pPr>
              <w:spacing w:after="0" w:line="360" w:lineRule="auto"/>
              <w:jc w:val="center"/>
              <w:rPr>
                <w:rFonts w:ascii="Times New Roman" w:eastAsia="Times New Roman" w:hAnsi="Times New Roman" w:cs="Times New Roman"/>
                <w:sz w:val="24"/>
                <w:szCs w:val="24"/>
              </w:rPr>
            </w:pPr>
            <w:r w:rsidRPr="00497DE8">
              <w:rPr>
                <w:rFonts w:ascii="Times New Roman" w:eastAsia="Times New Roman" w:hAnsi="Times New Roman" w:cs="Times New Roman"/>
                <w:sz w:val="24"/>
                <w:szCs w:val="24"/>
              </w:rPr>
              <w:t>1646.21</w:t>
            </w:r>
          </w:p>
        </w:tc>
      </w:tr>
    </w:tbl>
    <w:p w:rsidR="00237C18" w:rsidRPr="00497DE8" w:rsidRDefault="00237C18" w:rsidP="00237C18">
      <w:pPr>
        <w:rPr>
          <w:rFonts w:ascii="Times New Roman" w:hAnsi="Times New Roman" w:cs="Times New Roman"/>
          <w:sz w:val="24"/>
          <w:szCs w:val="24"/>
        </w:rPr>
      </w:pPr>
    </w:p>
    <w:p w:rsidR="001F5E0F" w:rsidRPr="00E376DE" w:rsidRDefault="001F5E0F" w:rsidP="00DF1985">
      <w:pPr>
        <w:spacing w:line="360" w:lineRule="auto"/>
        <w:jc w:val="both"/>
        <w:rPr>
          <w:rFonts w:ascii="Times New Roman" w:hAnsi="Times New Roman" w:cs="Times New Roman"/>
          <w:sz w:val="24"/>
          <w:szCs w:val="24"/>
        </w:rPr>
      </w:pPr>
    </w:p>
    <w:sectPr w:rsidR="001F5E0F" w:rsidRPr="00E376DE" w:rsidSect="00B90298">
      <w:pgSz w:w="11906" w:h="16838"/>
      <w:pgMar w:top="1440" w:right="1440" w:bottom="1440" w:left="144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151DA1" w16cid:durableId="23867216"/>
  <w16cid:commentId w16cid:paraId="1A07460D" w16cid:durableId="23867217"/>
  <w16cid:commentId w16cid:paraId="79626DE5" w16cid:durableId="23867218"/>
  <w16cid:commentId w16cid:paraId="629B8787" w16cid:durableId="23867219"/>
  <w16cid:commentId w16cid:paraId="12CA4AEB" w16cid:durableId="2386721A"/>
  <w16cid:commentId w16cid:paraId="111BF8DC" w16cid:durableId="238672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F0B" w:rsidRDefault="00D37F0B" w:rsidP="002C012F">
      <w:pPr>
        <w:spacing w:after="0" w:line="240" w:lineRule="auto"/>
      </w:pPr>
      <w:r>
        <w:separator/>
      </w:r>
    </w:p>
  </w:endnote>
  <w:endnote w:type="continuationSeparator" w:id="0">
    <w:p w:rsidR="00D37F0B" w:rsidRDefault="00D37F0B" w:rsidP="002C0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136420"/>
      <w:docPartObj>
        <w:docPartGallery w:val="Page Numbers (Bottom of Page)"/>
        <w:docPartUnique/>
      </w:docPartObj>
    </w:sdtPr>
    <w:sdtEndPr>
      <w:rPr>
        <w:noProof/>
      </w:rPr>
    </w:sdtEndPr>
    <w:sdtContent>
      <w:p w:rsidR="00820B82" w:rsidRDefault="00820B82">
        <w:pPr>
          <w:pStyle w:val="Footer"/>
          <w:jc w:val="center"/>
        </w:pPr>
        <w:r>
          <w:fldChar w:fldCharType="begin"/>
        </w:r>
        <w:r>
          <w:instrText xml:space="preserve"> PAGE   \* MERGEFORMAT </w:instrText>
        </w:r>
        <w:r>
          <w:fldChar w:fldCharType="separate"/>
        </w:r>
        <w:r w:rsidR="004856B4">
          <w:rPr>
            <w:noProof/>
          </w:rPr>
          <w:t>1</w:t>
        </w:r>
        <w:r>
          <w:rPr>
            <w:noProof/>
          </w:rPr>
          <w:fldChar w:fldCharType="end"/>
        </w:r>
      </w:p>
    </w:sdtContent>
  </w:sdt>
  <w:p w:rsidR="00820B82" w:rsidRDefault="00820B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F0B" w:rsidRDefault="00D37F0B" w:rsidP="002C012F">
      <w:pPr>
        <w:spacing w:after="0" w:line="240" w:lineRule="auto"/>
      </w:pPr>
      <w:r>
        <w:separator/>
      </w:r>
    </w:p>
  </w:footnote>
  <w:footnote w:type="continuationSeparator" w:id="0">
    <w:p w:rsidR="00D37F0B" w:rsidRDefault="00D37F0B" w:rsidP="002C0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35F"/>
    <w:multiLevelType w:val="hybridMultilevel"/>
    <w:tmpl w:val="BDC23898"/>
    <w:lvl w:ilvl="0" w:tplc="A54AB250">
      <w:start w:val="1"/>
      <w:numFmt w:val="decimal"/>
      <w:lvlText w:val="%1."/>
      <w:lvlJc w:val="left"/>
      <w:pPr>
        <w:ind w:left="-414" w:hanging="360"/>
      </w:pPr>
      <w:rPr>
        <w:color w:val="auto"/>
      </w:rPr>
    </w:lvl>
    <w:lvl w:ilvl="1" w:tplc="40090019" w:tentative="1">
      <w:start w:val="1"/>
      <w:numFmt w:val="lowerLetter"/>
      <w:lvlText w:val="%2."/>
      <w:lvlJc w:val="left"/>
      <w:pPr>
        <w:ind w:left="306" w:hanging="360"/>
      </w:pPr>
    </w:lvl>
    <w:lvl w:ilvl="2" w:tplc="4009001B" w:tentative="1">
      <w:start w:val="1"/>
      <w:numFmt w:val="lowerRoman"/>
      <w:lvlText w:val="%3."/>
      <w:lvlJc w:val="right"/>
      <w:pPr>
        <w:ind w:left="1026" w:hanging="180"/>
      </w:pPr>
    </w:lvl>
    <w:lvl w:ilvl="3" w:tplc="4009000F" w:tentative="1">
      <w:start w:val="1"/>
      <w:numFmt w:val="decimal"/>
      <w:lvlText w:val="%4."/>
      <w:lvlJc w:val="left"/>
      <w:pPr>
        <w:ind w:left="1746" w:hanging="360"/>
      </w:pPr>
    </w:lvl>
    <w:lvl w:ilvl="4" w:tplc="40090019" w:tentative="1">
      <w:start w:val="1"/>
      <w:numFmt w:val="lowerLetter"/>
      <w:lvlText w:val="%5."/>
      <w:lvlJc w:val="left"/>
      <w:pPr>
        <w:ind w:left="2466" w:hanging="360"/>
      </w:pPr>
    </w:lvl>
    <w:lvl w:ilvl="5" w:tplc="4009001B" w:tentative="1">
      <w:start w:val="1"/>
      <w:numFmt w:val="lowerRoman"/>
      <w:lvlText w:val="%6."/>
      <w:lvlJc w:val="right"/>
      <w:pPr>
        <w:ind w:left="3186" w:hanging="180"/>
      </w:pPr>
    </w:lvl>
    <w:lvl w:ilvl="6" w:tplc="4009000F" w:tentative="1">
      <w:start w:val="1"/>
      <w:numFmt w:val="decimal"/>
      <w:lvlText w:val="%7."/>
      <w:lvlJc w:val="left"/>
      <w:pPr>
        <w:ind w:left="3906" w:hanging="360"/>
      </w:pPr>
    </w:lvl>
    <w:lvl w:ilvl="7" w:tplc="40090019" w:tentative="1">
      <w:start w:val="1"/>
      <w:numFmt w:val="lowerLetter"/>
      <w:lvlText w:val="%8."/>
      <w:lvlJc w:val="left"/>
      <w:pPr>
        <w:ind w:left="4626" w:hanging="360"/>
      </w:pPr>
    </w:lvl>
    <w:lvl w:ilvl="8" w:tplc="4009001B" w:tentative="1">
      <w:start w:val="1"/>
      <w:numFmt w:val="lowerRoman"/>
      <w:lvlText w:val="%9."/>
      <w:lvlJc w:val="right"/>
      <w:pPr>
        <w:ind w:left="5346" w:hanging="180"/>
      </w:pPr>
    </w:lvl>
  </w:abstractNum>
  <w:abstractNum w:abstractNumId="1" w15:restartNumberingAfterBreak="0">
    <w:nsid w:val="32326B06"/>
    <w:multiLevelType w:val="hybridMultilevel"/>
    <w:tmpl w:val="AD867BA0"/>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0528C5"/>
    <w:multiLevelType w:val="multilevel"/>
    <w:tmpl w:val="9234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TI3MDEwMzQ1NjczNrdQ0lEKTi0uzszPAykwqgUAmLL1PywAAAA="/>
  </w:docVars>
  <w:rsids>
    <w:rsidRoot w:val="00CD712D"/>
    <w:rsid w:val="000000DC"/>
    <w:rsid w:val="00005046"/>
    <w:rsid w:val="00006CA4"/>
    <w:rsid w:val="00007A2D"/>
    <w:rsid w:val="000110BE"/>
    <w:rsid w:val="000117C8"/>
    <w:rsid w:val="000140CF"/>
    <w:rsid w:val="00015904"/>
    <w:rsid w:val="000263D4"/>
    <w:rsid w:val="00032C3C"/>
    <w:rsid w:val="00034AB2"/>
    <w:rsid w:val="00042909"/>
    <w:rsid w:val="00044498"/>
    <w:rsid w:val="00046EDC"/>
    <w:rsid w:val="000522AD"/>
    <w:rsid w:val="00054B57"/>
    <w:rsid w:val="00062086"/>
    <w:rsid w:val="00062FB6"/>
    <w:rsid w:val="00063132"/>
    <w:rsid w:val="000646AC"/>
    <w:rsid w:val="00065359"/>
    <w:rsid w:val="00070299"/>
    <w:rsid w:val="00074727"/>
    <w:rsid w:val="00091A87"/>
    <w:rsid w:val="00091BC0"/>
    <w:rsid w:val="000A2F4B"/>
    <w:rsid w:val="000A7B24"/>
    <w:rsid w:val="000B1F38"/>
    <w:rsid w:val="000B292E"/>
    <w:rsid w:val="000B3FC4"/>
    <w:rsid w:val="000B4B52"/>
    <w:rsid w:val="000B78DC"/>
    <w:rsid w:val="000C31FA"/>
    <w:rsid w:val="000E04ED"/>
    <w:rsid w:val="000E1B42"/>
    <w:rsid w:val="000E4768"/>
    <w:rsid w:val="000E47A9"/>
    <w:rsid w:val="000F36A6"/>
    <w:rsid w:val="000F7399"/>
    <w:rsid w:val="00100641"/>
    <w:rsid w:val="001041A1"/>
    <w:rsid w:val="00117A31"/>
    <w:rsid w:val="00123FB7"/>
    <w:rsid w:val="00124AB1"/>
    <w:rsid w:val="00124EEA"/>
    <w:rsid w:val="00126D59"/>
    <w:rsid w:val="001319B3"/>
    <w:rsid w:val="00145515"/>
    <w:rsid w:val="00150185"/>
    <w:rsid w:val="00161155"/>
    <w:rsid w:val="00164E0E"/>
    <w:rsid w:val="00171C5B"/>
    <w:rsid w:val="00173AE5"/>
    <w:rsid w:val="00176296"/>
    <w:rsid w:val="00180DFE"/>
    <w:rsid w:val="00183188"/>
    <w:rsid w:val="00190DED"/>
    <w:rsid w:val="001973B7"/>
    <w:rsid w:val="001B06FA"/>
    <w:rsid w:val="001B4836"/>
    <w:rsid w:val="001B4E7F"/>
    <w:rsid w:val="001C0D0E"/>
    <w:rsid w:val="001C7587"/>
    <w:rsid w:val="001D2739"/>
    <w:rsid w:val="001D357C"/>
    <w:rsid w:val="001D4BA1"/>
    <w:rsid w:val="001D4BD0"/>
    <w:rsid w:val="001D75EA"/>
    <w:rsid w:val="001E1BE7"/>
    <w:rsid w:val="001E7CA1"/>
    <w:rsid w:val="001F5E0F"/>
    <w:rsid w:val="00206599"/>
    <w:rsid w:val="0021225F"/>
    <w:rsid w:val="00212D1C"/>
    <w:rsid w:val="00215044"/>
    <w:rsid w:val="00215EA5"/>
    <w:rsid w:val="00220623"/>
    <w:rsid w:val="002251F7"/>
    <w:rsid w:val="00225F20"/>
    <w:rsid w:val="00227B97"/>
    <w:rsid w:val="002303ED"/>
    <w:rsid w:val="00232DF7"/>
    <w:rsid w:val="00234D03"/>
    <w:rsid w:val="002365A9"/>
    <w:rsid w:val="00237C18"/>
    <w:rsid w:val="00244076"/>
    <w:rsid w:val="0024462A"/>
    <w:rsid w:val="00254C76"/>
    <w:rsid w:val="0026035A"/>
    <w:rsid w:val="00261B8F"/>
    <w:rsid w:val="002649C4"/>
    <w:rsid w:val="00266E9D"/>
    <w:rsid w:val="00277477"/>
    <w:rsid w:val="00287C6C"/>
    <w:rsid w:val="00290AC9"/>
    <w:rsid w:val="00291CA1"/>
    <w:rsid w:val="00292623"/>
    <w:rsid w:val="002944A6"/>
    <w:rsid w:val="002963E0"/>
    <w:rsid w:val="002A301D"/>
    <w:rsid w:val="002A6A88"/>
    <w:rsid w:val="002B0788"/>
    <w:rsid w:val="002B49AF"/>
    <w:rsid w:val="002C012F"/>
    <w:rsid w:val="002C4920"/>
    <w:rsid w:val="002C53D1"/>
    <w:rsid w:val="002C6574"/>
    <w:rsid w:val="002D6A95"/>
    <w:rsid w:val="002E1CBD"/>
    <w:rsid w:val="002E2970"/>
    <w:rsid w:val="002E298B"/>
    <w:rsid w:val="002E50EE"/>
    <w:rsid w:val="002F49EF"/>
    <w:rsid w:val="00304BC2"/>
    <w:rsid w:val="00307C53"/>
    <w:rsid w:val="00311624"/>
    <w:rsid w:val="003126E8"/>
    <w:rsid w:val="00312B4A"/>
    <w:rsid w:val="00313596"/>
    <w:rsid w:val="003261C6"/>
    <w:rsid w:val="00330FAE"/>
    <w:rsid w:val="00333AD5"/>
    <w:rsid w:val="00335F74"/>
    <w:rsid w:val="00337276"/>
    <w:rsid w:val="0034746F"/>
    <w:rsid w:val="003502F0"/>
    <w:rsid w:val="00352E0B"/>
    <w:rsid w:val="00353429"/>
    <w:rsid w:val="0036529D"/>
    <w:rsid w:val="00365371"/>
    <w:rsid w:val="00365819"/>
    <w:rsid w:val="003712E4"/>
    <w:rsid w:val="003727BD"/>
    <w:rsid w:val="003774B9"/>
    <w:rsid w:val="003819D4"/>
    <w:rsid w:val="00381A06"/>
    <w:rsid w:val="003833AC"/>
    <w:rsid w:val="0038702B"/>
    <w:rsid w:val="00390706"/>
    <w:rsid w:val="003A27FC"/>
    <w:rsid w:val="003B2C22"/>
    <w:rsid w:val="003B3A6E"/>
    <w:rsid w:val="003C0B40"/>
    <w:rsid w:val="003C5227"/>
    <w:rsid w:val="003C57C4"/>
    <w:rsid w:val="003D3948"/>
    <w:rsid w:val="003D7F49"/>
    <w:rsid w:val="003E05EE"/>
    <w:rsid w:val="003F0ABD"/>
    <w:rsid w:val="003F2512"/>
    <w:rsid w:val="004126F4"/>
    <w:rsid w:val="00415C19"/>
    <w:rsid w:val="00423029"/>
    <w:rsid w:val="00436007"/>
    <w:rsid w:val="004378BF"/>
    <w:rsid w:val="00440A17"/>
    <w:rsid w:val="004541F8"/>
    <w:rsid w:val="00456D6E"/>
    <w:rsid w:val="00457039"/>
    <w:rsid w:val="0045799A"/>
    <w:rsid w:val="004612A5"/>
    <w:rsid w:val="00464342"/>
    <w:rsid w:val="00464EB6"/>
    <w:rsid w:val="00481149"/>
    <w:rsid w:val="00483908"/>
    <w:rsid w:val="00483C1C"/>
    <w:rsid w:val="0048437F"/>
    <w:rsid w:val="004856B4"/>
    <w:rsid w:val="00487437"/>
    <w:rsid w:val="004904F1"/>
    <w:rsid w:val="00492DB8"/>
    <w:rsid w:val="00494306"/>
    <w:rsid w:val="00494C07"/>
    <w:rsid w:val="00494C17"/>
    <w:rsid w:val="00495630"/>
    <w:rsid w:val="004A0E41"/>
    <w:rsid w:val="004A13B4"/>
    <w:rsid w:val="004A3070"/>
    <w:rsid w:val="004B44C6"/>
    <w:rsid w:val="004B64CE"/>
    <w:rsid w:val="004C4DB5"/>
    <w:rsid w:val="004C56BD"/>
    <w:rsid w:val="004D134D"/>
    <w:rsid w:val="004E42BB"/>
    <w:rsid w:val="004F2821"/>
    <w:rsid w:val="005008C8"/>
    <w:rsid w:val="00500AE7"/>
    <w:rsid w:val="00501619"/>
    <w:rsid w:val="00525354"/>
    <w:rsid w:val="005365EF"/>
    <w:rsid w:val="0054012B"/>
    <w:rsid w:val="00540D17"/>
    <w:rsid w:val="0054216C"/>
    <w:rsid w:val="0054487D"/>
    <w:rsid w:val="00547436"/>
    <w:rsid w:val="005519D1"/>
    <w:rsid w:val="00551EFC"/>
    <w:rsid w:val="00556D3C"/>
    <w:rsid w:val="00582B96"/>
    <w:rsid w:val="005939AE"/>
    <w:rsid w:val="005A020F"/>
    <w:rsid w:val="005A0849"/>
    <w:rsid w:val="005A0DB1"/>
    <w:rsid w:val="005A3541"/>
    <w:rsid w:val="005A4C28"/>
    <w:rsid w:val="005A5531"/>
    <w:rsid w:val="005B06FD"/>
    <w:rsid w:val="005B0D03"/>
    <w:rsid w:val="005B5153"/>
    <w:rsid w:val="005C1801"/>
    <w:rsid w:val="005C31A2"/>
    <w:rsid w:val="005D3955"/>
    <w:rsid w:val="005D4105"/>
    <w:rsid w:val="005D5359"/>
    <w:rsid w:val="005D5776"/>
    <w:rsid w:val="005E5391"/>
    <w:rsid w:val="005E61A2"/>
    <w:rsid w:val="005E7E84"/>
    <w:rsid w:val="005F7038"/>
    <w:rsid w:val="005F77AC"/>
    <w:rsid w:val="006000F0"/>
    <w:rsid w:val="00601CF9"/>
    <w:rsid w:val="006101B8"/>
    <w:rsid w:val="00612874"/>
    <w:rsid w:val="006138B4"/>
    <w:rsid w:val="00613C33"/>
    <w:rsid w:val="0061479B"/>
    <w:rsid w:val="006172B9"/>
    <w:rsid w:val="00640819"/>
    <w:rsid w:val="00645B53"/>
    <w:rsid w:val="0064617F"/>
    <w:rsid w:val="00646EC7"/>
    <w:rsid w:val="00647569"/>
    <w:rsid w:val="0065685F"/>
    <w:rsid w:val="00660BCC"/>
    <w:rsid w:val="00665C3F"/>
    <w:rsid w:val="00670DEE"/>
    <w:rsid w:val="00671D3D"/>
    <w:rsid w:val="006721FD"/>
    <w:rsid w:val="006746C0"/>
    <w:rsid w:val="00674F4E"/>
    <w:rsid w:val="00677A7B"/>
    <w:rsid w:val="0068380A"/>
    <w:rsid w:val="00685BB8"/>
    <w:rsid w:val="006942BE"/>
    <w:rsid w:val="006A00D8"/>
    <w:rsid w:val="006A0AC6"/>
    <w:rsid w:val="006B1FF9"/>
    <w:rsid w:val="006B6A3A"/>
    <w:rsid w:val="006C5E24"/>
    <w:rsid w:val="006C6A0F"/>
    <w:rsid w:val="006E22E5"/>
    <w:rsid w:val="006F123D"/>
    <w:rsid w:val="007028F5"/>
    <w:rsid w:val="00702ECC"/>
    <w:rsid w:val="00703E19"/>
    <w:rsid w:val="00707BE6"/>
    <w:rsid w:val="00710778"/>
    <w:rsid w:val="00713F5E"/>
    <w:rsid w:val="007149E6"/>
    <w:rsid w:val="0073154E"/>
    <w:rsid w:val="0073594B"/>
    <w:rsid w:val="00736876"/>
    <w:rsid w:val="007421F3"/>
    <w:rsid w:val="007551B3"/>
    <w:rsid w:val="00773D92"/>
    <w:rsid w:val="00792764"/>
    <w:rsid w:val="007A047F"/>
    <w:rsid w:val="007A5396"/>
    <w:rsid w:val="007B23D7"/>
    <w:rsid w:val="007C036B"/>
    <w:rsid w:val="007C188E"/>
    <w:rsid w:val="007C39D7"/>
    <w:rsid w:val="007C5CC1"/>
    <w:rsid w:val="007E25DD"/>
    <w:rsid w:val="007E29B1"/>
    <w:rsid w:val="007E5350"/>
    <w:rsid w:val="007E5993"/>
    <w:rsid w:val="007F05ED"/>
    <w:rsid w:val="007F6A9D"/>
    <w:rsid w:val="00800C2C"/>
    <w:rsid w:val="00800F7E"/>
    <w:rsid w:val="00806D7C"/>
    <w:rsid w:val="008107B2"/>
    <w:rsid w:val="00812BB5"/>
    <w:rsid w:val="00820B82"/>
    <w:rsid w:val="0082265A"/>
    <w:rsid w:val="0082583F"/>
    <w:rsid w:val="008354C4"/>
    <w:rsid w:val="0083791C"/>
    <w:rsid w:val="00845402"/>
    <w:rsid w:val="00847379"/>
    <w:rsid w:val="00847EE9"/>
    <w:rsid w:val="00851265"/>
    <w:rsid w:val="008551CB"/>
    <w:rsid w:val="00855F0B"/>
    <w:rsid w:val="0085657D"/>
    <w:rsid w:val="00857165"/>
    <w:rsid w:val="00860C87"/>
    <w:rsid w:val="00864FCF"/>
    <w:rsid w:val="00871F1D"/>
    <w:rsid w:val="00880C9E"/>
    <w:rsid w:val="00883D9B"/>
    <w:rsid w:val="008842D2"/>
    <w:rsid w:val="00886454"/>
    <w:rsid w:val="00887A37"/>
    <w:rsid w:val="00894E7B"/>
    <w:rsid w:val="008950A6"/>
    <w:rsid w:val="0089713B"/>
    <w:rsid w:val="00897D5A"/>
    <w:rsid w:val="00897EAD"/>
    <w:rsid w:val="008A3D1F"/>
    <w:rsid w:val="008B2062"/>
    <w:rsid w:val="008C2339"/>
    <w:rsid w:val="008C2C05"/>
    <w:rsid w:val="008C374F"/>
    <w:rsid w:val="008C54F0"/>
    <w:rsid w:val="008E09DD"/>
    <w:rsid w:val="008E4F7F"/>
    <w:rsid w:val="008F4E83"/>
    <w:rsid w:val="00902783"/>
    <w:rsid w:val="00905539"/>
    <w:rsid w:val="0090646D"/>
    <w:rsid w:val="009217A0"/>
    <w:rsid w:val="009219B7"/>
    <w:rsid w:val="00931482"/>
    <w:rsid w:val="009323D9"/>
    <w:rsid w:val="00933603"/>
    <w:rsid w:val="00936383"/>
    <w:rsid w:val="0095120C"/>
    <w:rsid w:val="009545E1"/>
    <w:rsid w:val="009564D7"/>
    <w:rsid w:val="00960672"/>
    <w:rsid w:val="00960E19"/>
    <w:rsid w:val="009613C6"/>
    <w:rsid w:val="0096236A"/>
    <w:rsid w:val="00966715"/>
    <w:rsid w:val="00970700"/>
    <w:rsid w:val="00974C01"/>
    <w:rsid w:val="009929F5"/>
    <w:rsid w:val="00994338"/>
    <w:rsid w:val="00995C70"/>
    <w:rsid w:val="00995DE8"/>
    <w:rsid w:val="009A738D"/>
    <w:rsid w:val="009A7800"/>
    <w:rsid w:val="009B0C61"/>
    <w:rsid w:val="009B6C28"/>
    <w:rsid w:val="009C4303"/>
    <w:rsid w:val="009C6455"/>
    <w:rsid w:val="009D313C"/>
    <w:rsid w:val="009D5861"/>
    <w:rsid w:val="009E1B7E"/>
    <w:rsid w:val="009E62B1"/>
    <w:rsid w:val="009E7F34"/>
    <w:rsid w:val="009F70A7"/>
    <w:rsid w:val="00A01B88"/>
    <w:rsid w:val="00A03394"/>
    <w:rsid w:val="00A13181"/>
    <w:rsid w:val="00A133DD"/>
    <w:rsid w:val="00A2771C"/>
    <w:rsid w:val="00A44CD7"/>
    <w:rsid w:val="00A5142A"/>
    <w:rsid w:val="00A563F2"/>
    <w:rsid w:val="00A62937"/>
    <w:rsid w:val="00A63234"/>
    <w:rsid w:val="00A71F99"/>
    <w:rsid w:val="00A735B9"/>
    <w:rsid w:val="00A73D01"/>
    <w:rsid w:val="00A7607C"/>
    <w:rsid w:val="00A76C49"/>
    <w:rsid w:val="00A76F4C"/>
    <w:rsid w:val="00A81929"/>
    <w:rsid w:val="00A8413D"/>
    <w:rsid w:val="00A86E3F"/>
    <w:rsid w:val="00A93EDC"/>
    <w:rsid w:val="00A94869"/>
    <w:rsid w:val="00A959DC"/>
    <w:rsid w:val="00AA1DA5"/>
    <w:rsid w:val="00AA1F75"/>
    <w:rsid w:val="00AB35E0"/>
    <w:rsid w:val="00AC116E"/>
    <w:rsid w:val="00AC257B"/>
    <w:rsid w:val="00AD246D"/>
    <w:rsid w:val="00AE22F9"/>
    <w:rsid w:val="00AF0B74"/>
    <w:rsid w:val="00AF3208"/>
    <w:rsid w:val="00AF3C9C"/>
    <w:rsid w:val="00B015A9"/>
    <w:rsid w:val="00B02D07"/>
    <w:rsid w:val="00B13BB2"/>
    <w:rsid w:val="00B16B82"/>
    <w:rsid w:val="00B2377F"/>
    <w:rsid w:val="00B315A9"/>
    <w:rsid w:val="00B32F74"/>
    <w:rsid w:val="00B375B6"/>
    <w:rsid w:val="00B41EFD"/>
    <w:rsid w:val="00B529F7"/>
    <w:rsid w:val="00B563CE"/>
    <w:rsid w:val="00B569A6"/>
    <w:rsid w:val="00B570F2"/>
    <w:rsid w:val="00B62F46"/>
    <w:rsid w:val="00B632C5"/>
    <w:rsid w:val="00B65339"/>
    <w:rsid w:val="00B65E5C"/>
    <w:rsid w:val="00B668ED"/>
    <w:rsid w:val="00B75230"/>
    <w:rsid w:val="00B7579B"/>
    <w:rsid w:val="00B75F6E"/>
    <w:rsid w:val="00B806A0"/>
    <w:rsid w:val="00B85BD9"/>
    <w:rsid w:val="00B87F87"/>
    <w:rsid w:val="00B90298"/>
    <w:rsid w:val="00B919E6"/>
    <w:rsid w:val="00B92BA3"/>
    <w:rsid w:val="00B947CD"/>
    <w:rsid w:val="00B970FC"/>
    <w:rsid w:val="00BA1050"/>
    <w:rsid w:val="00BA6C0E"/>
    <w:rsid w:val="00BB478F"/>
    <w:rsid w:val="00BB620E"/>
    <w:rsid w:val="00BB7911"/>
    <w:rsid w:val="00BB794B"/>
    <w:rsid w:val="00BB79DE"/>
    <w:rsid w:val="00BC3C17"/>
    <w:rsid w:val="00BC4F29"/>
    <w:rsid w:val="00BC6639"/>
    <w:rsid w:val="00BD7993"/>
    <w:rsid w:val="00BE1384"/>
    <w:rsid w:val="00BE2D88"/>
    <w:rsid w:val="00BE32CB"/>
    <w:rsid w:val="00BE7C3A"/>
    <w:rsid w:val="00BF5D62"/>
    <w:rsid w:val="00BF79F8"/>
    <w:rsid w:val="00BF7F4B"/>
    <w:rsid w:val="00C11216"/>
    <w:rsid w:val="00C13DA4"/>
    <w:rsid w:val="00C2313A"/>
    <w:rsid w:val="00C25385"/>
    <w:rsid w:val="00C257C2"/>
    <w:rsid w:val="00C27C1F"/>
    <w:rsid w:val="00C319DE"/>
    <w:rsid w:val="00C35379"/>
    <w:rsid w:val="00C368A4"/>
    <w:rsid w:val="00C52030"/>
    <w:rsid w:val="00C52A90"/>
    <w:rsid w:val="00C57D8B"/>
    <w:rsid w:val="00C6303B"/>
    <w:rsid w:val="00C63C39"/>
    <w:rsid w:val="00C728B5"/>
    <w:rsid w:val="00C73049"/>
    <w:rsid w:val="00C77B69"/>
    <w:rsid w:val="00C80592"/>
    <w:rsid w:val="00C82A3B"/>
    <w:rsid w:val="00C83EBD"/>
    <w:rsid w:val="00C876B2"/>
    <w:rsid w:val="00C94AA4"/>
    <w:rsid w:val="00C95105"/>
    <w:rsid w:val="00CA08C4"/>
    <w:rsid w:val="00CA348A"/>
    <w:rsid w:val="00CA7441"/>
    <w:rsid w:val="00CB61F9"/>
    <w:rsid w:val="00CC3BF3"/>
    <w:rsid w:val="00CC3F92"/>
    <w:rsid w:val="00CC6B3F"/>
    <w:rsid w:val="00CD0E19"/>
    <w:rsid w:val="00CD2CD9"/>
    <w:rsid w:val="00CD5386"/>
    <w:rsid w:val="00CD712D"/>
    <w:rsid w:val="00CE133A"/>
    <w:rsid w:val="00CE37D9"/>
    <w:rsid w:val="00CE750E"/>
    <w:rsid w:val="00CE7FD6"/>
    <w:rsid w:val="00CF2322"/>
    <w:rsid w:val="00CF31BA"/>
    <w:rsid w:val="00CF4918"/>
    <w:rsid w:val="00CF5C14"/>
    <w:rsid w:val="00CF7E34"/>
    <w:rsid w:val="00D03357"/>
    <w:rsid w:val="00D071A0"/>
    <w:rsid w:val="00D12991"/>
    <w:rsid w:val="00D14B6B"/>
    <w:rsid w:val="00D25CEE"/>
    <w:rsid w:val="00D315E7"/>
    <w:rsid w:val="00D37F0B"/>
    <w:rsid w:val="00D41DC6"/>
    <w:rsid w:val="00D45F7A"/>
    <w:rsid w:val="00D625CB"/>
    <w:rsid w:val="00D63B15"/>
    <w:rsid w:val="00D7595D"/>
    <w:rsid w:val="00D82BC6"/>
    <w:rsid w:val="00D82C42"/>
    <w:rsid w:val="00D85CC0"/>
    <w:rsid w:val="00D86F55"/>
    <w:rsid w:val="00D90F4F"/>
    <w:rsid w:val="00D95B70"/>
    <w:rsid w:val="00DA209A"/>
    <w:rsid w:val="00DA3D13"/>
    <w:rsid w:val="00DA6077"/>
    <w:rsid w:val="00DA6BFF"/>
    <w:rsid w:val="00DA7850"/>
    <w:rsid w:val="00DB03CD"/>
    <w:rsid w:val="00DB0EF6"/>
    <w:rsid w:val="00DB587E"/>
    <w:rsid w:val="00DB788E"/>
    <w:rsid w:val="00DC0DBA"/>
    <w:rsid w:val="00DC268B"/>
    <w:rsid w:val="00DC3D70"/>
    <w:rsid w:val="00DD0E2A"/>
    <w:rsid w:val="00DD2D66"/>
    <w:rsid w:val="00DD4B54"/>
    <w:rsid w:val="00DE0E50"/>
    <w:rsid w:val="00DE4C8E"/>
    <w:rsid w:val="00DE57C9"/>
    <w:rsid w:val="00DF1985"/>
    <w:rsid w:val="00DF1F75"/>
    <w:rsid w:val="00E0644A"/>
    <w:rsid w:val="00E1400D"/>
    <w:rsid w:val="00E14466"/>
    <w:rsid w:val="00E20BD6"/>
    <w:rsid w:val="00E3233C"/>
    <w:rsid w:val="00E37324"/>
    <w:rsid w:val="00E376DE"/>
    <w:rsid w:val="00E409C3"/>
    <w:rsid w:val="00E40D46"/>
    <w:rsid w:val="00E60A99"/>
    <w:rsid w:val="00E651CB"/>
    <w:rsid w:val="00E658D3"/>
    <w:rsid w:val="00E67D89"/>
    <w:rsid w:val="00E70C7E"/>
    <w:rsid w:val="00E72002"/>
    <w:rsid w:val="00E76878"/>
    <w:rsid w:val="00E816A9"/>
    <w:rsid w:val="00E86D9B"/>
    <w:rsid w:val="00E90606"/>
    <w:rsid w:val="00E9211B"/>
    <w:rsid w:val="00E95178"/>
    <w:rsid w:val="00E966DA"/>
    <w:rsid w:val="00EA46DD"/>
    <w:rsid w:val="00EA6BAC"/>
    <w:rsid w:val="00EA710A"/>
    <w:rsid w:val="00EB2ED9"/>
    <w:rsid w:val="00EB6D87"/>
    <w:rsid w:val="00EB7B61"/>
    <w:rsid w:val="00EC065F"/>
    <w:rsid w:val="00EC07AE"/>
    <w:rsid w:val="00EC0ACA"/>
    <w:rsid w:val="00ED428D"/>
    <w:rsid w:val="00EE2395"/>
    <w:rsid w:val="00EE3135"/>
    <w:rsid w:val="00EF6B6A"/>
    <w:rsid w:val="00F05D31"/>
    <w:rsid w:val="00F07CE6"/>
    <w:rsid w:val="00F1420E"/>
    <w:rsid w:val="00F1702B"/>
    <w:rsid w:val="00F30B44"/>
    <w:rsid w:val="00F32CB4"/>
    <w:rsid w:val="00F32E01"/>
    <w:rsid w:val="00F355D5"/>
    <w:rsid w:val="00F35D58"/>
    <w:rsid w:val="00F46944"/>
    <w:rsid w:val="00F5007E"/>
    <w:rsid w:val="00F55736"/>
    <w:rsid w:val="00F612CF"/>
    <w:rsid w:val="00F639B0"/>
    <w:rsid w:val="00F64139"/>
    <w:rsid w:val="00F6472E"/>
    <w:rsid w:val="00F7513E"/>
    <w:rsid w:val="00F7529A"/>
    <w:rsid w:val="00F75F85"/>
    <w:rsid w:val="00F762D2"/>
    <w:rsid w:val="00F76B52"/>
    <w:rsid w:val="00F86A7B"/>
    <w:rsid w:val="00F878F6"/>
    <w:rsid w:val="00F91DDE"/>
    <w:rsid w:val="00F94A77"/>
    <w:rsid w:val="00FA5A70"/>
    <w:rsid w:val="00FA63AE"/>
    <w:rsid w:val="00FA7EBA"/>
    <w:rsid w:val="00FB7442"/>
    <w:rsid w:val="00FC5C73"/>
    <w:rsid w:val="00FC6336"/>
    <w:rsid w:val="00FE0DB9"/>
    <w:rsid w:val="00FF004F"/>
    <w:rsid w:val="00FF00D8"/>
    <w:rsid w:val="00FF2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F69F-F7C1-4C24-BD01-2BD77A5A1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12D"/>
    <w:rPr>
      <w:color w:val="0000FF" w:themeColor="hyperlink"/>
      <w:u w:val="single"/>
    </w:rPr>
  </w:style>
  <w:style w:type="paragraph" w:styleId="BalloonText">
    <w:name w:val="Balloon Text"/>
    <w:basedOn w:val="Normal"/>
    <w:link w:val="BalloonTextChar"/>
    <w:uiPriority w:val="99"/>
    <w:semiHidden/>
    <w:unhideWhenUsed/>
    <w:rsid w:val="0016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E0E"/>
    <w:rPr>
      <w:rFonts w:ascii="Tahoma" w:hAnsi="Tahoma" w:cs="Tahoma"/>
      <w:sz w:val="16"/>
      <w:szCs w:val="16"/>
    </w:rPr>
  </w:style>
  <w:style w:type="table" w:styleId="TableGrid">
    <w:name w:val="Table Grid"/>
    <w:basedOn w:val="TableNormal"/>
    <w:uiPriority w:val="59"/>
    <w:rsid w:val="00292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0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12F"/>
  </w:style>
  <w:style w:type="paragraph" w:styleId="Footer">
    <w:name w:val="footer"/>
    <w:basedOn w:val="Normal"/>
    <w:link w:val="FooterChar"/>
    <w:uiPriority w:val="99"/>
    <w:unhideWhenUsed/>
    <w:rsid w:val="002C0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12F"/>
  </w:style>
  <w:style w:type="character" w:customStyle="1" w:styleId="author">
    <w:name w:val="author"/>
    <w:basedOn w:val="DefaultParagraphFont"/>
    <w:rsid w:val="002D6A95"/>
  </w:style>
  <w:style w:type="character" w:customStyle="1" w:styleId="pubyear">
    <w:name w:val="pubyear"/>
    <w:basedOn w:val="DefaultParagraphFont"/>
    <w:rsid w:val="002D6A95"/>
  </w:style>
  <w:style w:type="character" w:customStyle="1" w:styleId="articletitle">
    <w:name w:val="articletitle"/>
    <w:basedOn w:val="DefaultParagraphFont"/>
    <w:rsid w:val="002D6A95"/>
  </w:style>
  <w:style w:type="character" w:customStyle="1" w:styleId="vol">
    <w:name w:val="vol"/>
    <w:basedOn w:val="DefaultParagraphFont"/>
    <w:rsid w:val="002D6A95"/>
  </w:style>
  <w:style w:type="character" w:customStyle="1" w:styleId="pagefirst">
    <w:name w:val="pagefirst"/>
    <w:basedOn w:val="DefaultParagraphFont"/>
    <w:rsid w:val="002D6A95"/>
  </w:style>
  <w:style w:type="character" w:customStyle="1" w:styleId="pagelast">
    <w:name w:val="pagelast"/>
    <w:basedOn w:val="DefaultParagraphFont"/>
    <w:rsid w:val="002D6A95"/>
  </w:style>
  <w:style w:type="paragraph" w:customStyle="1" w:styleId="c-article-referencestext">
    <w:name w:val="c-article-references__text"/>
    <w:basedOn w:val="Normal"/>
    <w:rsid w:val="004C4DB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563CE"/>
    <w:rPr>
      <w:sz w:val="16"/>
      <w:szCs w:val="16"/>
    </w:rPr>
  </w:style>
  <w:style w:type="paragraph" w:styleId="CommentText">
    <w:name w:val="annotation text"/>
    <w:basedOn w:val="Normal"/>
    <w:link w:val="CommentTextChar"/>
    <w:uiPriority w:val="99"/>
    <w:semiHidden/>
    <w:unhideWhenUsed/>
    <w:rsid w:val="00B563CE"/>
    <w:pPr>
      <w:spacing w:line="240" w:lineRule="auto"/>
    </w:pPr>
    <w:rPr>
      <w:sz w:val="20"/>
      <w:szCs w:val="20"/>
    </w:rPr>
  </w:style>
  <w:style w:type="character" w:customStyle="1" w:styleId="CommentTextChar">
    <w:name w:val="Comment Text Char"/>
    <w:basedOn w:val="DefaultParagraphFont"/>
    <w:link w:val="CommentText"/>
    <w:uiPriority w:val="99"/>
    <w:semiHidden/>
    <w:rsid w:val="00B563CE"/>
    <w:rPr>
      <w:sz w:val="20"/>
      <w:szCs w:val="20"/>
    </w:rPr>
  </w:style>
  <w:style w:type="paragraph" w:styleId="CommentSubject">
    <w:name w:val="annotation subject"/>
    <w:basedOn w:val="CommentText"/>
    <w:next w:val="CommentText"/>
    <w:link w:val="CommentSubjectChar"/>
    <w:uiPriority w:val="99"/>
    <w:semiHidden/>
    <w:unhideWhenUsed/>
    <w:rsid w:val="00B563CE"/>
    <w:rPr>
      <w:b/>
      <w:bCs/>
    </w:rPr>
  </w:style>
  <w:style w:type="character" w:customStyle="1" w:styleId="CommentSubjectChar">
    <w:name w:val="Comment Subject Char"/>
    <w:basedOn w:val="CommentTextChar"/>
    <w:link w:val="CommentSubject"/>
    <w:uiPriority w:val="99"/>
    <w:semiHidden/>
    <w:rsid w:val="00B563CE"/>
    <w:rPr>
      <w:b/>
      <w:bCs/>
      <w:sz w:val="20"/>
      <w:szCs w:val="20"/>
    </w:rPr>
  </w:style>
  <w:style w:type="character" w:styleId="PlaceholderText">
    <w:name w:val="Placeholder Text"/>
    <w:basedOn w:val="DefaultParagraphFont"/>
    <w:uiPriority w:val="99"/>
    <w:semiHidden/>
    <w:rsid w:val="00851265"/>
    <w:rPr>
      <w:color w:val="808080"/>
    </w:rPr>
  </w:style>
  <w:style w:type="paragraph" w:styleId="ListParagraph">
    <w:name w:val="List Paragraph"/>
    <w:basedOn w:val="Normal"/>
    <w:uiPriority w:val="34"/>
    <w:qFormat/>
    <w:rsid w:val="00F91DDE"/>
    <w:pPr>
      <w:ind w:left="720"/>
      <w:contextualSpacing/>
    </w:pPr>
  </w:style>
  <w:style w:type="character" w:customStyle="1" w:styleId="UnresolvedMention">
    <w:name w:val="Unresolved Mention"/>
    <w:basedOn w:val="DefaultParagraphFont"/>
    <w:uiPriority w:val="99"/>
    <w:semiHidden/>
    <w:unhideWhenUsed/>
    <w:rsid w:val="006172B9"/>
    <w:rPr>
      <w:color w:val="605E5C"/>
      <w:shd w:val="clear" w:color="auto" w:fill="E1DFDD"/>
    </w:rPr>
  </w:style>
  <w:style w:type="character" w:customStyle="1" w:styleId="citationjournalname">
    <w:name w:val="citation_journal_name"/>
    <w:basedOn w:val="DefaultParagraphFont"/>
    <w:rsid w:val="003C0B40"/>
  </w:style>
  <w:style w:type="character" w:customStyle="1" w:styleId="citationvolumenumber">
    <w:name w:val="citation_volume_number"/>
    <w:basedOn w:val="DefaultParagraphFont"/>
    <w:rsid w:val="003C0B40"/>
  </w:style>
  <w:style w:type="character" w:customStyle="1" w:styleId="citationissuenumber">
    <w:name w:val="citation_issue_number"/>
    <w:basedOn w:val="DefaultParagraphFont"/>
    <w:rsid w:val="003C0B40"/>
  </w:style>
  <w:style w:type="character" w:customStyle="1" w:styleId="citationstartpage">
    <w:name w:val="citation_start_page"/>
    <w:basedOn w:val="DefaultParagraphFont"/>
    <w:rsid w:val="003C0B40"/>
  </w:style>
  <w:style w:type="character" w:customStyle="1" w:styleId="citationendpage">
    <w:name w:val="citation_end_page"/>
    <w:basedOn w:val="DefaultParagraphFont"/>
    <w:rsid w:val="003C0B40"/>
  </w:style>
  <w:style w:type="character" w:styleId="Emphasis">
    <w:name w:val="Emphasis"/>
    <w:basedOn w:val="DefaultParagraphFont"/>
    <w:uiPriority w:val="20"/>
    <w:qFormat/>
    <w:rsid w:val="00D90F4F"/>
    <w:rPr>
      <w:i/>
      <w:iCs/>
    </w:rPr>
  </w:style>
  <w:style w:type="paragraph" w:styleId="Caption">
    <w:name w:val="caption"/>
    <w:basedOn w:val="Normal"/>
    <w:next w:val="Normal"/>
    <w:uiPriority w:val="35"/>
    <w:unhideWhenUsed/>
    <w:qFormat/>
    <w:rsid w:val="000263D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6682">
      <w:bodyDiv w:val="1"/>
      <w:marLeft w:val="0"/>
      <w:marRight w:val="0"/>
      <w:marTop w:val="0"/>
      <w:marBottom w:val="0"/>
      <w:divBdr>
        <w:top w:val="none" w:sz="0" w:space="0" w:color="auto"/>
        <w:left w:val="none" w:sz="0" w:space="0" w:color="auto"/>
        <w:bottom w:val="none" w:sz="0" w:space="0" w:color="auto"/>
        <w:right w:val="none" w:sz="0" w:space="0" w:color="auto"/>
      </w:divBdr>
    </w:div>
    <w:div w:id="97262130">
      <w:bodyDiv w:val="1"/>
      <w:marLeft w:val="0"/>
      <w:marRight w:val="0"/>
      <w:marTop w:val="0"/>
      <w:marBottom w:val="0"/>
      <w:divBdr>
        <w:top w:val="none" w:sz="0" w:space="0" w:color="auto"/>
        <w:left w:val="none" w:sz="0" w:space="0" w:color="auto"/>
        <w:bottom w:val="none" w:sz="0" w:space="0" w:color="auto"/>
        <w:right w:val="none" w:sz="0" w:space="0" w:color="auto"/>
      </w:divBdr>
      <w:divsChild>
        <w:div w:id="1600916092">
          <w:marLeft w:val="0"/>
          <w:marRight w:val="0"/>
          <w:marTop w:val="0"/>
          <w:marBottom w:val="0"/>
          <w:divBdr>
            <w:top w:val="none" w:sz="0" w:space="0" w:color="auto"/>
            <w:left w:val="none" w:sz="0" w:space="0" w:color="auto"/>
            <w:bottom w:val="none" w:sz="0" w:space="0" w:color="auto"/>
            <w:right w:val="none" w:sz="0" w:space="0" w:color="auto"/>
          </w:divBdr>
        </w:div>
        <w:div w:id="800340557">
          <w:marLeft w:val="0"/>
          <w:marRight w:val="0"/>
          <w:marTop w:val="0"/>
          <w:marBottom w:val="0"/>
          <w:divBdr>
            <w:top w:val="none" w:sz="0" w:space="0" w:color="auto"/>
            <w:left w:val="none" w:sz="0" w:space="0" w:color="auto"/>
            <w:bottom w:val="none" w:sz="0" w:space="0" w:color="auto"/>
            <w:right w:val="none" w:sz="0" w:space="0" w:color="auto"/>
          </w:divBdr>
        </w:div>
        <w:div w:id="1102072063">
          <w:marLeft w:val="0"/>
          <w:marRight w:val="0"/>
          <w:marTop w:val="0"/>
          <w:marBottom w:val="0"/>
          <w:divBdr>
            <w:top w:val="none" w:sz="0" w:space="0" w:color="auto"/>
            <w:left w:val="none" w:sz="0" w:space="0" w:color="auto"/>
            <w:bottom w:val="none" w:sz="0" w:space="0" w:color="auto"/>
            <w:right w:val="none" w:sz="0" w:space="0" w:color="auto"/>
          </w:divBdr>
        </w:div>
      </w:divsChild>
    </w:div>
    <w:div w:id="173156863">
      <w:bodyDiv w:val="1"/>
      <w:marLeft w:val="0"/>
      <w:marRight w:val="0"/>
      <w:marTop w:val="0"/>
      <w:marBottom w:val="0"/>
      <w:divBdr>
        <w:top w:val="none" w:sz="0" w:space="0" w:color="auto"/>
        <w:left w:val="none" w:sz="0" w:space="0" w:color="auto"/>
        <w:bottom w:val="none" w:sz="0" w:space="0" w:color="auto"/>
        <w:right w:val="none" w:sz="0" w:space="0" w:color="auto"/>
      </w:divBdr>
    </w:div>
    <w:div w:id="418529809">
      <w:bodyDiv w:val="1"/>
      <w:marLeft w:val="0"/>
      <w:marRight w:val="0"/>
      <w:marTop w:val="0"/>
      <w:marBottom w:val="0"/>
      <w:divBdr>
        <w:top w:val="none" w:sz="0" w:space="0" w:color="auto"/>
        <w:left w:val="none" w:sz="0" w:space="0" w:color="auto"/>
        <w:bottom w:val="none" w:sz="0" w:space="0" w:color="auto"/>
        <w:right w:val="none" w:sz="0" w:space="0" w:color="auto"/>
      </w:divBdr>
    </w:div>
    <w:div w:id="451747899">
      <w:bodyDiv w:val="1"/>
      <w:marLeft w:val="0"/>
      <w:marRight w:val="0"/>
      <w:marTop w:val="0"/>
      <w:marBottom w:val="0"/>
      <w:divBdr>
        <w:top w:val="none" w:sz="0" w:space="0" w:color="auto"/>
        <w:left w:val="none" w:sz="0" w:space="0" w:color="auto"/>
        <w:bottom w:val="none" w:sz="0" w:space="0" w:color="auto"/>
        <w:right w:val="none" w:sz="0" w:space="0" w:color="auto"/>
      </w:divBdr>
    </w:div>
    <w:div w:id="454838960">
      <w:bodyDiv w:val="1"/>
      <w:marLeft w:val="0"/>
      <w:marRight w:val="0"/>
      <w:marTop w:val="0"/>
      <w:marBottom w:val="0"/>
      <w:divBdr>
        <w:top w:val="none" w:sz="0" w:space="0" w:color="auto"/>
        <w:left w:val="none" w:sz="0" w:space="0" w:color="auto"/>
        <w:bottom w:val="none" w:sz="0" w:space="0" w:color="auto"/>
        <w:right w:val="none" w:sz="0" w:space="0" w:color="auto"/>
      </w:divBdr>
    </w:div>
    <w:div w:id="1049647208">
      <w:bodyDiv w:val="1"/>
      <w:marLeft w:val="0"/>
      <w:marRight w:val="0"/>
      <w:marTop w:val="0"/>
      <w:marBottom w:val="0"/>
      <w:divBdr>
        <w:top w:val="none" w:sz="0" w:space="0" w:color="auto"/>
        <w:left w:val="none" w:sz="0" w:space="0" w:color="auto"/>
        <w:bottom w:val="none" w:sz="0" w:space="0" w:color="auto"/>
        <w:right w:val="none" w:sz="0" w:space="0" w:color="auto"/>
      </w:divBdr>
    </w:div>
    <w:div w:id="1152258200">
      <w:bodyDiv w:val="1"/>
      <w:marLeft w:val="0"/>
      <w:marRight w:val="0"/>
      <w:marTop w:val="0"/>
      <w:marBottom w:val="0"/>
      <w:divBdr>
        <w:top w:val="none" w:sz="0" w:space="0" w:color="auto"/>
        <w:left w:val="none" w:sz="0" w:space="0" w:color="auto"/>
        <w:bottom w:val="none" w:sz="0" w:space="0" w:color="auto"/>
        <w:right w:val="none" w:sz="0" w:space="0" w:color="auto"/>
      </w:divBdr>
    </w:div>
    <w:div w:id="1158886755">
      <w:bodyDiv w:val="1"/>
      <w:marLeft w:val="0"/>
      <w:marRight w:val="0"/>
      <w:marTop w:val="0"/>
      <w:marBottom w:val="0"/>
      <w:divBdr>
        <w:top w:val="none" w:sz="0" w:space="0" w:color="auto"/>
        <w:left w:val="none" w:sz="0" w:space="0" w:color="auto"/>
        <w:bottom w:val="none" w:sz="0" w:space="0" w:color="auto"/>
        <w:right w:val="none" w:sz="0" w:space="0" w:color="auto"/>
      </w:divBdr>
    </w:div>
    <w:div w:id="1240283941">
      <w:bodyDiv w:val="1"/>
      <w:marLeft w:val="0"/>
      <w:marRight w:val="0"/>
      <w:marTop w:val="0"/>
      <w:marBottom w:val="0"/>
      <w:divBdr>
        <w:top w:val="none" w:sz="0" w:space="0" w:color="auto"/>
        <w:left w:val="none" w:sz="0" w:space="0" w:color="auto"/>
        <w:bottom w:val="none" w:sz="0" w:space="0" w:color="auto"/>
        <w:right w:val="none" w:sz="0" w:space="0" w:color="auto"/>
      </w:divBdr>
    </w:div>
    <w:div w:id="1300115950">
      <w:bodyDiv w:val="1"/>
      <w:marLeft w:val="0"/>
      <w:marRight w:val="0"/>
      <w:marTop w:val="0"/>
      <w:marBottom w:val="0"/>
      <w:divBdr>
        <w:top w:val="none" w:sz="0" w:space="0" w:color="auto"/>
        <w:left w:val="none" w:sz="0" w:space="0" w:color="auto"/>
        <w:bottom w:val="none" w:sz="0" w:space="0" w:color="auto"/>
        <w:right w:val="none" w:sz="0" w:space="0" w:color="auto"/>
      </w:divBdr>
    </w:div>
    <w:div w:id="1706709224">
      <w:bodyDiv w:val="1"/>
      <w:marLeft w:val="0"/>
      <w:marRight w:val="0"/>
      <w:marTop w:val="0"/>
      <w:marBottom w:val="0"/>
      <w:divBdr>
        <w:top w:val="none" w:sz="0" w:space="0" w:color="auto"/>
        <w:left w:val="none" w:sz="0" w:space="0" w:color="auto"/>
        <w:bottom w:val="none" w:sz="0" w:space="0" w:color="auto"/>
        <w:right w:val="none" w:sz="0" w:space="0" w:color="auto"/>
      </w:divBdr>
    </w:div>
    <w:div w:id="1870146974">
      <w:bodyDiv w:val="1"/>
      <w:marLeft w:val="0"/>
      <w:marRight w:val="0"/>
      <w:marTop w:val="0"/>
      <w:marBottom w:val="0"/>
      <w:divBdr>
        <w:top w:val="none" w:sz="0" w:space="0" w:color="auto"/>
        <w:left w:val="none" w:sz="0" w:space="0" w:color="auto"/>
        <w:bottom w:val="none" w:sz="0" w:space="0" w:color="auto"/>
        <w:right w:val="none" w:sz="0" w:space="0" w:color="auto"/>
      </w:divBdr>
    </w:div>
    <w:div w:id="1883051627">
      <w:bodyDiv w:val="1"/>
      <w:marLeft w:val="0"/>
      <w:marRight w:val="0"/>
      <w:marTop w:val="0"/>
      <w:marBottom w:val="0"/>
      <w:divBdr>
        <w:top w:val="none" w:sz="0" w:space="0" w:color="auto"/>
        <w:left w:val="none" w:sz="0" w:space="0" w:color="auto"/>
        <w:bottom w:val="none" w:sz="0" w:space="0" w:color="auto"/>
        <w:right w:val="none" w:sz="0" w:space="0" w:color="auto"/>
      </w:divBdr>
    </w:div>
    <w:div w:id="1883253003">
      <w:bodyDiv w:val="1"/>
      <w:marLeft w:val="0"/>
      <w:marRight w:val="0"/>
      <w:marTop w:val="0"/>
      <w:marBottom w:val="0"/>
      <w:divBdr>
        <w:top w:val="none" w:sz="0" w:space="0" w:color="auto"/>
        <w:left w:val="none" w:sz="0" w:space="0" w:color="auto"/>
        <w:bottom w:val="none" w:sz="0" w:space="0" w:color="auto"/>
        <w:right w:val="none" w:sz="0" w:space="0" w:color="auto"/>
      </w:divBdr>
    </w:div>
    <w:div w:id="1924333623">
      <w:bodyDiv w:val="1"/>
      <w:marLeft w:val="0"/>
      <w:marRight w:val="0"/>
      <w:marTop w:val="0"/>
      <w:marBottom w:val="0"/>
      <w:divBdr>
        <w:top w:val="none" w:sz="0" w:space="0" w:color="auto"/>
        <w:left w:val="none" w:sz="0" w:space="0" w:color="auto"/>
        <w:bottom w:val="none" w:sz="0" w:space="0" w:color="auto"/>
        <w:right w:val="none" w:sz="0" w:space="0" w:color="auto"/>
      </w:divBdr>
    </w:div>
    <w:div w:id="1951425661">
      <w:bodyDiv w:val="1"/>
      <w:marLeft w:val="0"/>
      <w:marRight w:val="0"/>
      <w:marTop w:val="0"/>
      <w:marBottom w:val="0"/>
      <w:divBdr>
        <w:top w:val="none" w:sz="0" w:space="0" w:color="auto"/>
        <w:left w:val="none" w:sz="0" w:space="0" w:color="auto"/>
        <w:bottom w:val="none" w:sz="0" w:space="0" w:color="auto"/>
        <w:right w:val="none" w:sz="0" w:space="0" w:color="auto"/>
      </w:divBdr>
    </w:div>
    <w:div w:id="201399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 Id="rId43"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Desktop\Paper_On%20Progress\Model_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Desktop\Paper_On%20Progress\Model_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71062992125985"/>
          <c:y val="0.13473388743073791"/>
          <c:w val="0.64208245844269463"/>
          <c:h val="0.62428623505395153"/>
        </c:manualLayout>
      </c:layout>
      <c:barChart>
        <c:barDir val="col"/>
        <c:grouping val="clustered"/>
        <c:varyColors val="0"/>
        <c:ser>
          <c:idx val="0"/>
          <c:order val="0"/>
          <c:tx>
            <c:strRef>
              <c:f>Plantation_NDVI!$D$14</c:f>
              <c:strCache>
                <c:ptCount val="1"/>
                <c:pt idx="0">
                  <c:v>Tea plantation</c:v>
                </c:pt>
              </c:strCache>
            </c:strRef>
          </c:tx>
          <c:invertIfNegative val="0"/>
          <c:cat>
            <c:strRef>
              <c:f>Plantation_NDVI!$C$15:$C$17</c:f>
              <c:strCache>
                <c:ptCount val="3"/>
                <c:pt idx="0">
                  <c:v>Open</c:v>
                </c:pt>
                <c:pt idx="1">
                  <c:v>Moderate</c:v>
                </c:pt>
                <c:pt idx="2">
                  <c:v>Dense</c:v>
                </c:pt>
              </c:strCache>
            </c:strRef>
          </c:cat>
          <c:val>
            <c:numRef>
              <c:f>Plantation_NDVI!$D$15:$D$17</c:f>
              <c:numCache>
                <c:formatCode>0.00</c:formatCode>
                <c:ptCount val="3"/>
                <c:pt idx="0">
                  <c:v>60.652913660970263</c:v>
                </c:pt>
                <c:pt idx="1">
                  <c:v>58.923459974920213</c:v>
                </c:pt>
                <c:pt idx="2">
                  <c:v>1148.70162537286</c:v>
                </c:pt>
              </c:numCache>
            </c:numRef>
          </c:val>
          <c:extLst>
            <c:ext xmlns:c16="http://schemas.microsoft.com/office/drawing/2014/chart" uri="{C3380CC4-5D6E-409C-BE32-E72D297353CC}">
              <c16:uniqueId val="{00000000-CBF3-457C-8BD1-1E7B6581E248}"/>
            </c:ext>
          </c:extLst>
        </c:ser>
        <c:ser>
          <c:idx val="1"/>
          <c:order val="1"/>
          <c:tx>
            <c:strRef>
              <c:f>Plantation_NDVI!$E$14</c:f>
              <c:strCache>
                <c:ptCount val="1"/>
                <c:pt idx="0">
                  <c:v>Total Area</c:v>
                </c:pt>
              </c:strCache>
            </c:strRef>
          </c:tx>
          <c:invertIfNegative val="0"/>
          <c:cat>
            <c:strRef>
              <c:f>Plantation_NDVI!$C$15:$C$17</c:f>
              <c:strCache>
                <c:ptCount val="3"/>
                <c:pt idx="0">
                  <c:v>Open</c:v>
                </c:pt>
                <c:pt idx="1">
                  <c:v>Moderate</c:v>
                </c:pt>
                <c:pt idx="2">
                  <c:v>Dense</c:v>
                </c:pt>
              </c:strCache>
            </c:strRef>
          </c:cat>
          <c:val>
            <c:numRef>
              <c:f>Plantation_NDVI!$E$15:$E$17</c:f>
              <c:numCache>
                <c:formatCode>0.00</c:formatCode>
                <c:ptCount val="3"/>
                <c:pt idx="0">
                  <c:v>662.05169999999748</c:v>
                </c:pt>
                <c:pt idx="1">
                  <c:v>561.43079999999998</c:v>
                </c:pt>
                <c:pt idx="2">
                  <c:v>4312.141200000081</c:v>
                </c:pt>
              </c:numCache>
            </c:numRef>
          </c:val>
          <c:extLst>
            <c:ext xmlns:c16="http://schemas.microsoft.com/office/drawing/2014/chart" uri="{C3380CC4-5D6E-409C-BE32-E72D297353CC}">
              <c16:uniqueId val="{00000001-CBF3-457C-8BD1-1E7B6581E248}"/>
            </c:ext>
          </c:extLst>
        </c:ser>
        <c:dLbls>
          <c:showLegendKey val="0"/>
          <c:showVal val="0"/>
          <c:showCatName val="0"/>
          <c:showSerName val="0"/>
          <c:showPercent val="0"/>
          <c:showBubbleSize val="0"/>
        </c:dLbls>
        <c:gapWidth val="150"/>
        <c:axId val="65892352"/>
        <c:axId val="65895424"/>
      </c:barChart>
      <c:catAx>
        <c:axId val="65892352"/>
        <c:scaling>
          <c:orientation val="minMax"/>
        </c:scaling>
        <c:delete val="0"/>
        <c:axPos val="b"/>
        <c:title>
          <c:tx>
            <c:rich>
              <a:bodyPr/>
              <a:lstStyle/>
              <a:p>
                <a:pPr>
                  <a:defRPr lang="en-IN" sz="1100"/>
                </a:pPr>
                <a:r>
                  <a:rPr lang="en-IN" sz="1100"/>
                  <a:t>NDVI Class</a:t>
                </a:r>
              </a:p>
            </c:rich>
          </c:tx>
          <c:overlay val="0"/>
        </c:title>
        <c:numFmt formatCode="General" sourceLinked="0"/>
        <c:majorTickMark val="out"/>
        <c:minorTickMark val="none"/>
        <c:tickLblPos val="nextTo"/>
        <c:spPr>
          <a:ln>
            <a:solidFill>
              <a:sysClr val="windowText" lastClr="000000"/>
            </a:solidFill>
          </a:ln>
        </c:spPr>
        <c:txPr>
          <a:bodyPr/>
          <a:lstStyle/>
          <a:p>
            <a:pPr>
              <a:defRPr lang="en-IN" sz="1100"/>
            </a:pPr>
            <a:endParaRPr lang="en-US"/>
          </a:p>
        </c:txPr>
        <c:crossAx val="65895424"/>
        <c:crosses val="autoZero"/>
        <c:auto val="1"/>
        <c:lblAlgn val="ctr"/>
        <c:lblOffset val="100"/>
        <c:noMultiLvlLbl val="0"/>
      </c:catAx>
      <c:valAx>
        <c:axId val="65895424"/>
        <c:scaling>
          <c:orientation val="minMax"/>
        </c:scaling>
        <c:delete val="0"/>
        <c:axPos val="l"/>
        <c:title>
          <c:tx>
            <c:rich>
              <a:bodyPr rot="-5400000" vert="horz"/>
              <a:lstStyle/>
              <a:p>
                <a:pPr>
                  <a:defRPr lang="en-IN" sz="1100"/>
                </a:pPr>
                <a:r>
                  <a:rPr lang="en-IN" sz="1100"/>
                  <a:t>Area (sq. km)</a:t>
                </a:r>
              </a:p>
            </c:rich>
          </c:tx>
          <c:layout>
            <c:manualLayout>
              <c:xMode val="edge"/>
              <c:yMode val="edge"/>
              <c:x val="7.3745406824147139E-2"/>
              <c:y val="0.29733996792068829"/>
            </c:manualLayout>
          </c:layout>
          <c:overlay val="0"/>
        </c:title>
        <c:numFmt formatCode="0" sourceLinked="0"/>
        <c:majorTickMark val="out"/>
        <c:minorTickMark val="none"/>
        <c:tickLblPos val="nextTo"/>
        <c:spPr>
          <a:ln>
            <a:solidFill>
              <a:sysClr val="windowText" lastClr="000000"/>
            </a:solidFill>
          </a:ln>
        </c:spPr>
        <c:txPr>
          <a:bodyPr/>
          <a:lstStyle/>
          <a:p>
            <a:pPr>
              <a:defRPr lang="en-IN" sz="1100"/>
            </a:pPr>
            <a:endParaRPr lang="en-US"/>
          </a:p>
        </c:txPr>
        <c:crossAx val="65892352"/>
        <c:crosses val="autoZero"/>
        <c:crossBetween val="between"/>
      </c:valAx>
    </c:plotArea>
    <c:legend>
      <c:legendPos val="r"/>
      <c:layout>
        <c:manualLayout>
          <c:xMode val="edge"/>
          <c:yMode val="edge"/>
          <c:x val="0.28112642169729452"/>
          <c:y val="2.7393919510062013E-2"/>
          <c:w val="0.46609580052493427"/>
          <c:h val="0.16743438320210438"/>
        </c:manualLayout>
      </c:layout>
      <c:overlay val="0"/>
      <c:txPr>
        <a:bodyPr/>
        <a:lstStyle/>
        <a:p>
          <a:pPr>
            <a:defRPr lang="en-IN" sz="11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ln>
          <a:solidFill>
            <a:sysClr val="windowText" lastClr="000000"/>
          </a:solidFill>
        </a:ln>
      </c:spPr>
    </c:floor>
    <c:sideWall>
      <c:thickness val="0"/>
    </c:sideWall>
    <c:backWall>
      <c:thickness val="0"/>
    </c:backWall>
    <c:plotArea>
      <c:layout>
        <c:manualLayout>
          <c:layoutTarget val="inner"/>
          <c:xMode val="edge"/>
          <c:yMode val="edge"/>
          <c:x val="0.22661329833770791"/>
          <c:y val="0.14740157480314961"/>
          <c:w val="0.74377096284017252"/>
          <c:h val="0.56900317840016834"/>
        </c:manualLayout>
      </c:layout>
      <c:bar3DChart>
        <c:barDir val="col"/>
        <c:grouping val="clustered"/>
        <c:varyColors val="0"/>
        <c:ser>
          <c:idx val="0"/>
          <c:order val="0"/>
          <c:tx>
            <c:strRef>
              <c:f>Plantation_NDVI!$E$43</c:f>
              <c:strCache>
                <c:ptCount val="1"/>
                <c:pt idx="0">
                  <c:v>High Potential (with Tea Plantation)</c:v>
                </c:pt>
              </c:strCache>
            </c:strRef>
          </c:tx>
          <c:invertIfNegative val="0"/>
          <c:cat>
            <c:strRef>
              <c:f>Plantation_NDVI!$D$44:$D$46</c:f>
              <c:strCache>
                <c:ptCount val="3"/>
                <c:pt idx="0">
                  <c:v>Dense Forest</c:v>
                </c:pt>
                <c:pt idx="1">
                  <c:v>Moderate Forest</c:v>
                </c:pt>
                <c:pt idx="2">
                  <c:v>Open Forest</c:v>
                </c:pt>
              </c:strCache>
            </c:strRef>
          </c:cat>
          <c:val>
            <c:numRef>
              <c:f>Plantation_NDVI!$E$44:$E$46</c:f>
              <c:numCache>
                <c:formatCode>0.00</c:formatCode>
                <c:ptCount val="3"/>
                <c:pt idx="0">
                  <c:v>80.040357361350573</c:v>
                </c:pt>
                <c:pt idx="1">
                  <c:v>9.3192362336501748</c:v>
                </c:pt>
                <c:pt idx="2">
                  <c:v>10.640388708837348</c:v>
                </c:pt>
              </c:numCache>
            </c:numRef>
          </c:val>
          <c:extLst>
            <c:ext xmlns:c16="http://schemas.microsoft.com/office/drawing/2014/chart" uri="{C3380CC4-5D6E-409C-BE32-E72D297353CC}">
              <c16:uniqueId val="{00000000-CA25-45E4-8A11-7A083FDCE56B}"/>
            </c:ext>
          </c:extLst>
        </c:ser>
        <c:ser>
          <c:idx val="1"/>
          <c:order val="1"/>
          <c:tx>
            <c:strRef>
              <c:f>Plantation_NDVI!$F$43</c:f>
              <c:strCache>
                <c:ptCount val="1"/>
                <c:pt idx="0">
                  <c:v>High Potential (without Tea Plantation)</c:v>
                </c:pt>
              </c:strCache>
            </c:strRef>
          </c:tx>
          <c:invertIfNegative val="0"/>
          <c:cat>
            <c:strRef>
              <c:f>Plantation_NDVI!$D$44:$D$46</c:f>
              <c:strCache>
                <c:ptCount val="3"/>
                <c:pt idx="0">
                  <c:v>Dense Forest</c:v>
                </c:pt>
                <c:pt idx="1">
                  <c:v>Moderate Forest</c:v>
                </c:pt>
                <c:pt idx="2">
                  <c:v>Open Forest</c:v>
                </c:pt>
              </c:strCache>
            </c:strRef>
          </c:cat>
          <c:val>
            <c:numRef>
              <c:f>Plantation_NDVI!$F$44:$F$46</c:f>
              <c:numCache>
                <c:formatCode>0.00</c:formatCode>
                <c:ptCount val="3"/>
                <c:pt idx="0">
                  <c:v>76.208835684328307</c:v>
                </c:pt>
                <c:pt idx="1">
                  <c:v>11.015614584781074</c:v>
                </c:pt>
                <c:pt idx="2">
                  <c:v>12.775439820022576</c:v>
                </c:pt>
              </c:numCache>
            </c:numRef>
          </c:val>
          <c:extLst>
            <c:ext xmlns:c16="http://schemas.microsoft.com/office/drawing/2014/chart" uri="{C3380CC4-5D6E-409C-BE32-E72D297353CC}">
              <c16:uniqueId val="{00000001-CA25-45E4-8A11-7A083FDCE56B}"/>
            </c:ext>
          </c:extLst>
        </c:ser>
        <c:dLbls>
          <c:showLegendKey val="0"/>
          <c:showVal val="0"/>
          <c:showCatName val="0"/>
          <c:showSerName val="0"/>
          <c:showPercent val="0"/>
          <c:showBubbleSize val="0"/>
        </c:dLbls>
        <c:gapWidth val="150"/>
        <c:shape val="box"/>
        <c:axId val="69673344"/>
        <c:axId val="70881280"/>
        <c:axId val="0"/>
      </c:bar3DChart>
      <c:catAx>
        <c:axId val="69673344"/>
        <c:scaling>
          <c:orientation val="minMax"/>
        </c:scaling>
        <c:delete val="0"/>
        <c:axPos val="b"/>
        <c:title>
          <c:tx>
            <c:rich>
              <a:bodyPr/>
              <a:lstStyle/>
              <a:p>
                <a:pPr>
                  <a:defRPr lang="en-IN" sz="1200">
                    <a:latin typeface="Times New Roman" panose="02020603050405020304" pitchFamily="18" charset="0"/>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NDVI</a:t>
                </a:r>
                <a:r>
                  <a:rPr lang="en-IN" sz="1200" baseline="0">
                    <a:latin typeface="Times New Roman" panose="02020603050405020304" pitchFamily="18" charset="0"/>
                    <a:cs typeface="Times New Roman" panose="02020603050405020304" pitchFamily="18" charset="0"/>
                  </a:rPr>
                  <a:t> Class</a:t>
                </a:r>
                <a:endParaRPr lang="en-IN" sz="1200">
                  <a:latin typeface="Times New Roman" panose="02020603050405020304" pitchFamily="18" charset="0"/>
                  <a:cs typeface="Times New Roman" panose="02020603050405020304" pitchFamily="18" charset="0"/>
                </a:endParaRPr>
              </a:p>
            </c:rich>
          </c:tx>
          <c:overlay val="0"/>
        </c:title>
        <c:numFmt formatCode="General" sourceLinked="0"/>
        <c:majorTickMark val="out"/>
        <c:minorTickMark val="none"/>
        <c:tickLblPos val="nextTo"/>
        <c:spPr>
          <a:ln>
            <a:solidFill>
              <a:sysClr val="windowText" lastClr="000000"/>
            </a:solidFill>
          </a:ln>
        </c:spPr>
        <c:txPr>
          <a:bodyPr/>
          <a:lstStyle/>
          <a:p>
            <a:pPr>
              <a:defRPr lang="en-IN" sz="1200">
                <a:latin typeface="Times New Roman" panose="02020603050405020304" pitchFamily="18" charset="0"/>
                <a:cs typeface="Times New Roman" panose="02020603050405020304" pitchFamily="18" charset="0"/>
              </a:defRPr>
            </a:pPr>
            <a:endParaRPr lang="en-US"/>
          </a:p>
        </c:txPr>
        <c:crossAx val="70881280"/>
        <c:crosses val="autoZero"/>
        <c:auto val="1"/>
        <c:lblAlgn val="ctr"/>
        <c:lblOffset val="100"/>
        <c:noMultiLvlLbl val="0"/>
      </c:catAx>
      <c:valAx>
        <c:axId val="70881280"/>
        <c:scaling>
          <c:orientation val="minMax"/>
        </c:scaling>
        <c:delete val="0"/>
        <c:axPos val="l"/>
        <c:title>
          <c:tx>
            <c:rich>
              <a:bodyPr rot="-5400000" vert="horz"/>
              <a:lstStyle/>
              <a:p>
                <a:pPr>
                  <a:defRPr lang="en-IN" sz="1200">
                    <a:latin typeface="Times New Roman" panose="02020603050405020304" pitchFamily="18" charset="0"/>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a:t>
                </a:r>
                <a:r>
                  <a:rPr lang="en-IN" sz="1200" baseline="0">
                    <a:latin typeface="Times New Roman" panose="02020603050405020304" pitchFamily="18" charset="0"/>
                    <a:cs typeface="Times New Roman" panose="02020603050405020304" pitchFamily="18" charset="0"/>
                  </a:rPr>
                  <a:t> Area</a:t>
                </a:r>
                <a:endParaRPr lang="en-IN" sz="1200">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spPr>
          <a:ln>
            <a:solidFill>
              <a:sysClr val="windowText" lastClr="000000"/>
            </a:solidFill>
          </a:ln>
        </c:spPr>
        <c:txPr>
          <a:bodyPr/>
          <a:lstStyle/>
          <a:p>
            <a:pPr>
              <a:defRPr lang="en-IN" sz="1200">
                <a:latin typeface="Times New Roman" panose="02020603050405020304" pitchFamily="18" charset="0"/>
                <a:cs typeface="Times New Roman" panose="02020603050405020304" pitchFamily="18" charset="0"/>
              </a:defRPr>
            </a:pPr>
            <a:endParaRPr lang="en-US"/>
          </a:p>
        </c:txPr>
        <c:crossAx val="69673344"/>
        <c:crosses val="autoZero"/>
        <c:crossBetween val="between"/>
      </c:valAx>
    </c:plotArea>
    <c:legend>
      <c:legendPos val="r"/>
      <c:layout>
        <c:manualLayout>
          <c:xMode val="edge"/>
          <c:yMode val="edge"/>
          <c:x val="0.27316203895565688"/>
          <c:y val="3.37552742616034E-2"/>
          <c:w val="0.66426467744163564"/>
          <c:h val="0.13175720123592174"/>
        </c:manualLayout>
      </c:layout>
      <c:overlay val="0"/>
      <c:txPr>
        <a:bodyPr/>
        <a:lstStyle/>
        <a:p>
          <a:pPr>
            <a:defRPr lang="en-IN"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F751A-3796-4C15-81E7-E2CD0A46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himolin basumatary</cp:lastModifiedBy>
  <cp:revision>41</cp:revision>
  <dcterms:created xsi:type="dcterms:W3CDTF">2021-01-12T16:00:00Z</dcterms:created>
  <dcterms:modified xsi:type="dcterms:W3CDTF">2021-06-14T11:19:00Z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http://www.zotero.org/styles/folia-primatologica</vt:lpwstr>
  </property>
  <property fmtid="{D5CDD505-2E9C-101B-9397-08002B2CF9AE}" pid="13" name="Mendeley Recent Style Name 5_1">
    <vt:lpwstr>Folia Primatologica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3cf1c77e-e338-3d02-80e6-47e269435895</vt:lpwstr>
  </property>
  <property fmtid="{D5CDD505-2E9C-101B-9397-08002B2CF9AE}" pid="24" name="Mendeley Citation Style_1">
    <vt:lpwstr>http://www.zotero.org/styles/folia-primatologica</vt:lpwstr>
  </property>
</Properties>
</file>