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A178C" w14:textId="5C2A0F09" w:rsidR="000B701B" w:rsidRPr="008F5D10" w:rsidRDefault="000B701B" w:rsidP="00CC0942">
      <w:pPr>
        <w:spacing w:line="480" w:lineRule="auto"/>
        <w:jc w:val="center"/>
        <w:rPr>
          <w:rFonts w:ascii="Times New Roman" w:hAnsi="Times New Roman" w:cs="Times New Roman"/>
          <w:b/>
          <w:bCs/>
          <w:sz w:val="24"/>
          <w:szCs w:val="24"/>
          <w:bdr w:val="none" w:sz="0" w:space="0" w:color="auto" w:frame="1"/>
        </w:rPr>
      </w:pPr>
      <w:bookmarkStart w:id="0" w:name="_Hlk52274553"/>
      <w:r w:rsidRPr="008F5D10">
        <w:rPr>
          <w:rFonts w:ascii="Times New Roman" w:hAnsi="Times New Roman" w:cs="Times New Roman"/>
          <w:b/>
          <w:bCs/>
          <w:sz w:val="24"/>
          <w:szCs w:val="24"/>
          <w:bdr w:val="none" w:sz="0" w:space="0" w:color="auto" w:frame="1"/>
        </w:rPr>
        <w:t xml:space="preserve">Supplementary </w:t>
      </w:r>
      <w:r w:rsidR="00F95182">
        <w:rPr>
          <w:rFonts w:ascii="Times New Roman" w:hAnsi="Times New Roman" w:cs="Times New Roman"/>
          <w:b/>
          <w:bCs/>
          <w:sz w:val="24"/>
          <w:szCs w:val="24"/>
          <w:bdr w:val="none" w:sz="0" w:space="0" w:color="auto" w:frame="1"/>
        </w:rPr>
        <w:t>Information</w:t>
      </w:r>
    </w:p>
    <w:p w14:paraId="346EC520" w14:textId="2F7E7F23" w:rsidR="000B701B" w:rsidRPr="008F5D10" w:rsidRDefault="000B701B" w:rsidP="00CC0942">
      <w:pPr>
        <w:spacing w:line="480" w:lineRule="auto"/>
        <w:jc w:val="center"/>
        <w:rPr>
          <w:rFonts w:ascii="Times New Roman" w:hAnsi="Times New Roman" w:cs="Times New Roman"/>
          <w:b/>
          <w:bCs/>
          <w:sz w:val="24"/>
          <w:szCs w:val="24"/>
          <w:bdr w:val="none" w:sz="0" w:space="0" w:color="auto" w:frame="1"/>
        </w:rPr>
      </w:pPr>
      <w:bookmarkStart w:id="1" w:name="_Hlk64738208"/>
      <w:r w:rsidRPr="008F5D10">
        <w:rPr>
          <w:rFonts w:ascii="Times New Roman" w:hAnsi="Times New Roman" w:cs="Times New Roman"/>
          <w:b/>
          <w:bCs/>
          <w:sz w:val="24"/>
          <w:szCs w:val="24"/>
          <w:bdr w:val="none" w:sz="0" w:space="0" w:color="auto" w:frame="1"/>
        </w:rPr>
        <w:t>NOD: A web</w:t>
      </w:r>
      <w:r w:rsidR="000F44BC">
        <w:rPr>
          <w:rFonts w:ascii="Times New Roman" w:hAnsi="Times New Roman" w:cs="Times New Roman"/>
          <w:b/>
          <w:bCs/>
          <w:sz w:val="24"/>
          <w:szCs w:val="24"/>
          <w:bdr w:val="none" w:sz="0" w:space="0" w:color="auto" w:frame="1"/>
        </w:rPr>
        <w:t xml:space="preserve"> </w:t>
      </w:r>
      <w:r w:rsidRPr="008F5D10">
        <w:rPr>
          <w:rFonts w:ascii="Times New Roman" w:hAnsi="Times New Roman" w:cs="Times New Roman"/>
          <w:b/>
          <w:bCs/>
          <w:sz w:val="24"/>
          <w:szCs w:val="24"/>
          <w:bdr w:val="none" w:sz="0" w:space="0" w:color="auto" w:frame="1"/>
        </w:rPr>
        <w:t xml:space="preserve">server to predict </w:t>
      </w:r>
      <w:r w:rsidRPr="008F5D10">
        <w:rPr>
          <w:rFonts w:ascii="Times New Roman" w:hAnsi="Times New Roman" w:cs="Times New Roman"/>
          <w:b/>
          <w:bCs/>
          <w:sz w:val="24"/>
          <w:szCs w:val="24"/>
          <w:u w:val="single"/>
          <w:bdr w:val="none" w:sz="0" w:space="0" w:color="auto" w:frame="1"/>
        </w:rPr>
        <w:t>N</w:t>
      </w:r>
      <w:r w:rsidRPr="008F5D10">
        <w:rPr>
          <w:rFonts w:ascii="Times New Roman" w:hAnsi="Times New Roman" w:cs="Times New Roman"/>
          <w:b/>
          <w:bCs/>
          <w:sz w:val="24"/>
          <w:szCs w:val="24"/>
          <w:bdr w:val="none" w:sz="0" w:space="0" w:color="auto" w:frame="1"/>
        </w:rPr>
        <w:t xml:space="preserve">ew use of </w:t>
      </w:r>
      <w:r w:rsidRPr="008F5D10">
        <w:rPr>
          <w:rFonts w:ascii="Times New Roman" w:hAnsi="Times New Roman" w:cs="Times New Roman"/>
          <w:b/>
          <w:bCs/>
          <w:sz w:val="24"/>
          <w:szCs w:val="24"/>
          <w:u w:val="single"/>
          <w:bdr w:val="none" w:sz="0" w:space="0" w:color="auto" w:frame="1"/>
        </w:rPr>
        <w:t>O</w:t>
      </w:r>
      <w:r w:rsidRPr="008F5D10">
        <w:rPr>
          <w:rFonts w:ascii="Times New Roman" w:hAnsi="Times New Roman" w:cs="Times New Roman"/>
          <w:b/>
          <w:bCs/>
          <w:sz w:val="24"/>
          <w:szCs w:val="24"/>
          <w:bdr w:val="none" w:sz="0" w:space="0" w:color="auto" w:frame="1"/>
        </w:rPr>
        <w:t xml:space="preserve">ld </w:t>
      </w:r>
      <w:r w:rsidRPr="008F5D10">
        <w:rPr>
          <w:rFonts w:ascii="Times New Roman" w:hAnsi="Times New Roman" w:cs="Times New Roman"/>
          <w:b/>
          <w:bCs/>
          <w:sz w:val="24"/>
          <w:szCs w:val="24"/>
          <w:u w:val="single"/>
          <w:bdr w:val="none" w:sz="0" w:space="0" w:color="auto" w:frame="1"/>
        </w:rPr>
        <w:t>D</w:t>
      </w:r>
      <w:r w:rsidRPr="008F5D10">
        <w:rPr>
          <w:rFonts w:ascii="Times New Roman" w:hAnsi="Times New Roman" w:cs="Times New Roman"/>
          <w:b/>
          <w:bCs/>
          <w:sz w:val="24"/>
          <w:szCs w:val="24"/>
          <w:bdr w:val="none" w:sz="0" w:space="0" w:color="auto" w:frame="1"/>
        </w:rPr>
        <w:t>rugs to facilitate drug repurposing</w:t>
      </w:r>
    </w:p>
    <w:p w14:paraId="188D2D40" w14:textId="77777777" w:rsidR="000B701B" w:rsidRPr="008F5D10" w:rsidRDefault="000B701B" w:rsidP="00CC0942">
      <w:pPr>
        <w:spacing w:line="480" w:lineRule="auto"/>
        <w:jc w:val="center"/>
        <w:rPr>
          <w:rFonts w:ascii="Times New Roman" w:hAnsi="Times New Roman" w:cs="Times New Roman"/>
          <w:sz w:val="24"/>
          <w:szCs w:val="24"/>
          <w:bdr w:val="none" w:sz="0" w:space="0" w:color="auto" w:frame="1"/>
          <w:vertAlign w:val="superscript"/>
        </w:rPr>
      </w:pPr>
      <w:r w:rsidRPr="008F5D10">
        <w:rPr>
          <w:rFonts w:ascii="Times New Roman" w:hAnsi="Times New Roman" w:cs="Times New Roman"/>
          <w:sz w:val="24"/>
          <w:szCs w:val="24"/>
          <w:bdr w:val="none" w:sz="0" w:space="0" w:color="auto" w:frame="1"/>
        </w:rPr>
        <w:t>Tarun J. Narwani</w:t>
      </w:r>
      <w:r w:rsidRPr="008F5D10">
        <w:rPr>
          <w:rFonts w:ascii="Times New Roman" w:hAnsi="Times New Roman" w:cs="Times New Roman"/>
          <w:sz w:val="24"/>
          <w:szCs w:val="24"/>
          <w:bdr w:val="none" w:sz="0" w:space="0" w:color="auto" w:frame="1"/>
          <w:vertAlign w:val="superscript"/>
        </w:rPr>
        <w:t>a</w:t>
      </w:r>
      <w:r w:rsidRPr="008F5D10">
        <w:rPr>
          <w:rFonts w:ascii="Times New Roman" w:hAnsi="Times New Roman" w:cs="Times New Roman"/>
          <w:sz w:val="24"/>
          <w:szCs w:val="24"/>
          <w:bdr w:val="none" w:sz="0" w:space="0" w:color="auto" w:frame="1"/>
        </w:rPr>
        <w:t>, Narayanaswamy Srinivasan</w:t>
      </w:r>
      <w:r w:rsidRPr="008F5D10">
        <w:rPr>
          <w:rFonts w:ascii="Times New Roman" w:hAnsi="Times New Roman" w:cs="Times New Roman"/>
          <w:sz w:val="24"/>
          <w:szCs w:val="24"/>
          <w:bdr w:val="none" w:sz="0" w:space="0" w:color="auto" w:frame="1"/>
          <w:vertAlign w:val="superscript"/>
        </w:rPr>
        <w:t>a*</w:t>
      </w:r>
      <w:r w:rsidRPr="008F5D10">
        <w:rPr>
          <w:rFonts w:ascii="Times New Roman" w:hAnsi="Times New Roman" w:cs="Times New Roman"/>
          <w:sz w:val="24"/>
          <w:szCs w:val="24"/>
          <w:bdr w:val="none" w:sz="0" w:space="0" w:color="auto" w:frame="1"/>
        </w:rPr>
        <w:t>, Sohini Chakraborti</w:t>
      </w:r>
      <w:r w:rsidRPr="008F5D10">
        <w:rPr>
          <w:rFonts w:ascii="Times New Roman" w:hAnsi="Times New Roman" w:cs="Times New Roman"/>
          <w:sz w:val="24"/>
          <w:szCs w:val="24"/>
          <w:bdr w:val="none" w:sz="0" w:space="0" w:color="auto" w:frame="1"/>
          <w:vertAlign w:val="superscript"/>
        </w:rPr>
        <w:t>a</w:t>
      </w:r>
    </w:p>
    <w:p w14:paraId="7B0DB4CE" w14:textId="77777777" w:rsidR="000B701B" w:rsidRPr="008F5D10" w:rsidRDefault="000B701B" w:rsidP="00CC0942">
      <w:pPr>
        <w:spacing w:line="480" w:lineRule="auto"/>
        <w:jc w:val="center"/>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vertAlign w:val="superscript"/>
        </w:rPr>
        <w:t>a</w:t>
      </w:r>
      <w:r w:rsidRPr="008F5D10">
        <w:rPr>
          <w:rFonts w:ascii="Times New Roman" w:hAnsi="Times New Roman" w:cs="Times New Roman"/>
          <w:sz w:val="24"/>
          <w:szCs w:val="24"/>
          <w:bdr w:val="none" w:sz="0" w:space="0" w:color="auto" w:frame="1"/>
        </w:rPr>
        <w:t>Molecular Biophysics Unit, Indian Institute of Scienc</w:t>
      </w:r>
      <w:bookmarkStart w:id="2" w:name="_GoBack"/>
      <w:bookmarkEnd w:id="2"/>
      <w:r w:rsidRPr="008F5D10">
        <w:rPr>
          <w:rFonts w:ascii="Times New Roman" w:hAnsi="Times New Roman" w:cs="Times New Roman"/>
          <w:sz w:val="24"/>
          <w:szCs w:val="24"/>
          <w:bdr w:val="none" w:sz="0" w:space="0" w:color="auto" w:frame="1"/>
        </w:rPr>
        <w:t>e, Bengaluru 560012, Karnataka, India.</w:t>
      </w:r>
    </w:p>
    <w:p w14:paraId="15AF8D7E" w14:textId="127415D8" w:rsidR="009D0115" w:rsidRPr="00F95182" w:rsidRDefault="000B701B" w:rsidP="00F95182">
      <w:pPr>
        <w:spacing w:line="480" w:lineRule="auto"/>
        <w:jc w:val="center"/>
        <w:rPr>
          <w:rFonts w:ascii="Times New Roman" w:hAnsi="Times New Roman" w:cs="Times New Roman"/>
          <w:sz w:val="24"/>
          <w:szCs w:val="24"/>
        </w:rPr>
        <w:sectPr w:rsidR="009D0115" w:rsidRPr="00F95182" w:rsidSect="00F34E04">
          <w:pgSz w:w="11906" w:h="16838"/>
          <w:pgMar w:top="1440" w:right="1133" w:bottom="1440" w:left="1440" w:header="708" w:footer="708" w:gutter="0"/>
          <w:cols w:space="708"/>
          <w:docGrid w:linePitch="360"/>
        </w:sectPr>
      </w:pPr>
      <w:r w:rsidRPr="008F5D10">
        <w:rPr>
          <w:rFonts w:ascii="Times New Roman" w:hAnsi="Times New Roman" w:cs="Times New Roman"/>
          <w:sz w:val="24"/>
          <w:szCs w:val="24"/>
          <w:bdr w:val="none" w:sz="0" w:space="0" w:color="auto" w:frame="1"/>
        </w:rPr>
        <w:t xml:space="preserve">*To whom correspondence should be </w:t>
      </w:r>
      <w:bookmarkEnd w:id="0"/>
      <w:r w:rsidR="0051008A" w:rsidRPr="008F5D10">
        <w:rPr>
          <w:rFonts w:ascii="Times New Roman" w:hAnsi="Times New Roman" w:cs="Times New Roman"/>
          <w:sz w:val="24"/>
          <w:szCs w:val="24"/>
          <w:bdr w:val="none" w:sz="0" w:space="0" w:color="auto" w:frame="1"/>
        </w:rPr>
        <w:t>addressed</w:t>
      </w:r>
      <w:r w:rsidR="00736291" w:rsidRPr="008F5D10">
        <w:rPr>
          <w:rFonts w:ascii="Times New Roman" w:hAnsi="Times New Roman" w:cs="Times New Roman"/>
          <w:sz w:val="24"/>
          <w:szCs w:val="24"/>
          <w:bdr w:val="none" w:sz="0" w:space="0" w:color="auto" w:frame="1"/>
        </w:rPr>
        <w:t xml:space="preserve">: </w:t>
      </w:r>
      <w:hyperlink r:id="rId8" w:history="1">
        <w:r w:rsidR="00736291" w:rsidRPr="008F5D10">
          <w:rPr>
            <w:rStyle w:val="Hyperlink"/>
            <w:rFonts w:ascii="Times New Roman" w:hAnsi="Times New Roman" w:cs="Times New Roman"/>
            <w:sz w:val="24"/>
            <w:szCs w:val="24"/>
            <w:bdr w:val="none" w:sz="0" w:space="0" w:color="auto" w:frame="1"/>
          </w:rPr>
          <w:t>ns@iisc.ac.in</w:t>
        </w:r>
      </w:hyperlink>
      <w:bookmarkEnd w:id="1"/>
    </w:p>
    <w:p w14:paraId="240ABC14" w14:textId="77777777" w:rsidR="00382C07" w:rsidRDefault="00382C07" w:rsidP="005A7C5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1EAA19A1" w14:textId="4485AF25" w:rsidR="005A7C5C" w:rsidRPr="008F5D10" w:rsidRDefault="005A7C5C" w:rsidP="005A7C5C">
      <w:pPr>
        <w:spacing w:line="480" w:lineRule="auto"/>
        <w:jc w:val="both"/>
        <w:rPr>
          <w:rFonts w:ascii="Times New Roman" w:hAnsi="Times New Roman" w:cs="Times New Roman"/>
          <w:b/>
          <w:bCs/>
          <w:sz w:val="24"/>
          <w:szCs w:val="24"/>
        </w:rPr>
      </w:pPr>
      <w:r w:rsidRPr="008F5D10">
        <w:rPr>
          <w:rFonts w:ascii="Times New Roman" w:hAnsi="Times New Roman" w:cs="Times New Roman"/>
          <w:b/>
          <w:bCs/>
          <w:sz w:val="24"/>
          <w:szCs w:val="24"/>
        </w:rPr>
        <w:t>Table S3: Details of browser compatibility test</w:t>
      </w:r>
    </w:p>
    <w:tbl>
      <w:tblPr>
        <w:tblStyle w:val="TableGrid"/>
        <w:tblpPr w:leftFromText="180" w:rightFromText="180" w:vertAnchor="text" w:horzAnchor="margin" w:tblpY="69"/>
        <w:tblW w:w="8926" w:type="dxa"/>
        <w:tblLayout w:type="fixed"/>
        <w:tblLook w:val="04A0" w:firstRow="1" w:lastRow="0" w:firstColumn="1" w:lastColumn="0" w:noHBand="0" w:noVBand="1"/>
      </w:tblPr>
      <w:tblGrid>
        <w:gridCol w:w="846"/>
        <w:gridCol w:w="1984"/>
        <w:gridCol w:w="3828"/>
        <w:gridCol w:w="2268"/>
      </w:tblGrid>
      <w:tr w:rsidR="005A7C5C" w:rsidRPr="008F5D10" w14:paraId="20B43472" w14:textId="77777777" w:rsidTr="00B524A6">
        <w:tc>
          <w:tcPr>
            <w:tcW w:w="846" w:type="dxa"/>
          </w:tcPr>
          <w:p w14:paraId="7EA5E990" w14:textId="77777777" w:rsidR="005A7C5C" w:rsidRPr="008F5D10" w:rsidRDefault="005A7C5C" w:rsidP="00B524A6">
            <w:pPr>
              <w:spacing w:line="480" w:lineRule="auto"/>
              <w:jc w:val="both"/>
              <w:rPr>
                <w:rFonts w:ascii="Times New Roman" w:hAnsi="Times New Roman" w:cs="Times New Roman"/>
                <w:b/>
                <w:bCs/>
                <w:sz w:val="24"/>
                <w:szCs w:val="24"/>
              </w:rPr>
            </w:pPr>
            <w:r w:rsidRPr="008F5D10">
              <w:rPr>
                <w:rFonts w:ascii="Times New Roman" w:hAnsi="Times New Roman" w:cs="Times New Roman"/>
                <w:b/>
                <w:bCs/>
                <w:sz w:val="24"/>
                <w:szCs w:val="24"/>
              </w:rPr>
              <w:t>S. No.</w:t>
            </w:r>
          </w:p>
        </w:tc>
        <w:tc>
          <w:tcPr>
            <w:tcW w:w="1984" w:type="dxa"/>
          </w:tcPr>
          <w:p w14:paraId="3DFE335F" w14:textId="77777777" w:rsidR="005A7C5C" w:rsidRPr="008F5D10" w:rsidRDefault="005A7C5C" w:rsidP="00B524A6">
            <w:pPr>
              <w:spacing w:line="480" w:lineRule="auto"/>
              <w:jc w:val="both"/>
              <w:rPr>
                <w:rFonts w:ascii="Times New Roman" w:hAnsi="Times New Roman" w:cs="Times New Roman"/>
                <w:b/>
                <w:bCs/>
                <w:sz w:val="24"/>
                <w:szCs w:val="24"/>
              </w:rPr>
            </w:pPr>
            <w:r w:rsidRPr="008F5D10">
              <w:rPr>
                <w:rFonts w:ascii="Times New Roman" w:hAnsi="Times New Roman" w:cs="Times New Roman"/>
                <w:b/>
                <w:bCs/>
                <w:sz w:val="24"/>
                <w:szCs w:val="24"/>
              </w:rPr>
              <w:t>Desktop operating system</w:t>
            </w:r>
          </w:p>
        </w:tc>
        <w:tc>
          <w:tcPr>
            <w:tcW w:w="3828" w:type="dxa"/>
          </w:tcPr>
          <w:p w14:paraId="5C05994E" w14:textId="77777777" w:rsidR="005A7C5C" w:rsidRPr="008F5D10" w:rsidRDefault="005A7C5C" w:rsidP="00B524A6">
            <w:pPr>
              <w:spacing w:line="480" w:lineRule="auto"/>
              <w:rPr>
                <w:rFonts w:ascii="Times New Roman" w:hAnsi="Times New Roman" w:cs="Times New Roman"/>
                <w:b/>
                <w:bCs/>
                <w:sz w:val="24"/>
                <w:szCs w:val="24"/>
              </w:rPr>
            </w:pPr>
            <w:r w:rsidRPr="008F5D10">
              <w:rPr>
                <w:rFonts w:ascii="Times New Roman" w:hAnsi="Times New Roman" w:cs="Times New Roman"/>
                <w:b/>
                <w:bCs/>
                <w:sz w:val="24"/>
                <w:szCs w:val="24"/>
              </w:rPr>
              <w:t>Internet browser</w:t>
            </w:r>
          </w:p>
        </w:tc>
        <w:tc>
          <w:tcPr>
            <w:tcW w:w="2268" w:type="dxa"/>
          </w:tcPr>
          <w:p w14:paraId="5DD71E59" w14:textId="77777777" w:rsidR="005A7C5C" w:rsidRPr="008F5D10" w:rsidRDefault="005A7C5C" w:rsidP="00B524A6">
            <w:pPr>
              <w:spacing w:line="480" w:lineRule="auto"/>
              <w:rPr>
                <w:rFonts w:ascii="Times New Roman" w:hAnsi="Times New Roman" w:cs="Times New Roman"/>
                <w:b/>
                <w:bCs/>
                <w:sz w:val="24"/>
                <w:szCs w:val="24"/>
              </w:rPr>
            </w:pPr>
            <w:r w:rsidRPr="008F5D10">
              <w:rPr>
                <w:rFonts w:ascii="Times New Roman" w:hAnsi="Times New Roman" w:cs="Times New Roman"/>
                <w:b/>
                <w:bCs/>
                <w:sz w:val="24"/>
                <w:szCs w:val="24"/>
              </w:rPr>
              <w:t>Are all the features of NOD accessible?</w:t>
            </w:r>
          </w:p>
        </w:tc>
      </w:tr>
      <w:tr w:rsidR="005A7C5C" w:rsidRPr="008F5D10" w14:paraId="63A661F0" w14:textId="77777777" w:rsidTr="00B524A6">
        <w:tc>
          <w:tcPr>
            <w:tcW w:w="846" w:type="dxa"/>
          </w:tcPr>
          <w:p w14:paraId="3C4CB369"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1</w:t>
            </w:r>
          </w:p>
        </w:tc>
        <w:tc>
          <w:tcPr>
            <w:tcW w:w="1984" w:type="dxa"/>
          </w:tcPr>
          <w:p w14:paraId="658B8D3F"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Windows 10</w:t>
            </w:r>
          </w:p>
        </w:tc>
        <w:tc>
          <w:tcPr>
            <w:tcW w:w="3828" w:type="dxa"/>
          </w:tcPr>
          <w:p w14:paraId="35B69C61"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Google chrome ver. 86.0.x.x</w:t>
            </w:r>
          </w:p>
        </w:tc>
        <w:tc>
          <w:tcPr>
            <w:tcW w:w="2268" w:type="dxa"/>
          </w:tcPr>
          <w:p w14:paraId="3999FDB2"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346DD98D" w14:textId="77777777" w:rsidTr="00B524A6">
        <w:tc>
          <w:tcPr>
            <w:tcW w:w="846" w:type="dxa"/>
          </w:tcPr>
          <w:p w14:paraId="010830F3"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2</w:t>
            </w:r>
          </w:p>
        </w:tc>
        <w:tc>
          <w:tcPr>
            <w:tcW w:w="1984" w:type="dxa"/>
          </w:tcPr>
          <w:p w14:paraId="324A77F3"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Windows 10</w:t>
            </w:r>
          </w:p>
        </w:tc>
        <w:tc>
          <w:tcPr>
            <w:tcW w:w="3828" w:type="dxa"/>
          </w:tcPr>
          <w:p w14:paraId="6DE87C6B"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Microsoft edge ver. 86.0.x.x</w:t>
            </w:r>
          </w:p>
        </w:tc>
        <w:tc>
          <w:tcPr>
            <w:tcW w:w="2268" w:type="dxa"/>
          </w:tcPr>
          <w:p w14:paraId="0AFA03BB"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4B734ED6" w14:textId="77777777" w:rsidTr="00B524A6">
        <w:tc>
          <w:tcPr>
            <w:tcW w:w="846" w:type="dxa"/>
          </w:tcPr>
          <w:p w14:paraId="753FCE09"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2BD02AFA"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Windows 10</w:t>
            </w:r>
          </w:p>
        </w:tc>
        <w:tc>
          <w:tcPr>
            <w:tcW w:w="3828" w:type="dxa"/>
            <w:tcBorders>
              <w:top w:val="single" w:sz="4" w:space="0" w:color="auto"/>
              <w:left w:val="single" w:sz="4" w:space="0" w:color="auto"/>
              <w:bottom w:val="single" w:sz="4" w:space="0" w:color="auto"/>
              <w:right w:val="single" w:sz="4" w:space="0" w:color="auto"/>
            </w:tcBorders>
          </w:tcPr>
          <w:p w14:paraId="6C0D8E76"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Firefox ver. 83.0.x</w:t>
            </w:r>
          </w:p>
        </w:tc>
        <w:tc>
          <w:tcPr>
            <w:tcW w:w="2268" w:type="dxa"/>
            <w:tcBorders>
              <w:top w:val="single" w:sz="4" w:space="0" w:color="auto"/>
              <w:left w:val="single" w:sz="4" w:space="0" w:color="auto"/>
              <w:bottom w:val="single" w:sz="4" w:space="0" w:color="auto"/>
              <w:right w:val="single" w:sz="4" w:space="0" w:color="auto"/>
            </w:tcBorders>
          </w:tcPr>
          <w:p w14:paraId="5F1F364F"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722E0E63" w14:textId="77777777" w:rsidTr="00B524A6">
        <w:tc>
          <w:tcPr>
            <w:tcW w:w="846" w:type="dxa"/>
          </w:tcPr>
          <w:p w14:paraId="21A4554A"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14:paraId="3868C0CA"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Windows 10</w:t>
            </w:r>
          </w:p>
        </w:tc>
        <w:tc>
          <w:tcPr>
            <w:tcW w:w="3828" w:type="dxa"/>
            <w:tcBorders>
              <w:top w:val="single" w:sz="4" w:space="0" w:color="auto"/>
              <w:left w:val="single" w:sz="4" w:space="0" w:color="auto"/>
              <w:bottom w:val="single" w:sz="4" w:space="0" w:color="auto"/>
              <w:right w:val="single" w:sz="4" w:space="0" w:color="auto"/>
            </w:tcBorders>
          </w:tcPr>
          <w:p w14:paraId="25B8D51C"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Opera ver. 66</w:t>
            </w:r>
          </w:p>
        </w:tc>
        <w:tc>
          <w:tcPr>
            <w:tcW w:w="2268" w:type="dxa"/>
            <w:tcBorders>
              <w:top w:val="single" w:sz="4" w:space="0" w:color="auto"/>
              <w:left w:val="single" w:sz="4" w:space="0" w:color="auto"/>
              <w:bottom w:val="single" w:sz="4" w:space="0" w:color="auto"/>
              <w:right w:val="single" w:sz="4" w:space="0" w:color="auto"/>
            </w:tcBorders>
          </w:tcPr>
          <w:p w14:paraId="3ED450D7"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18CB9D8F" w14:textId="77777777" w:rsidTr="00B524A6">
        <w:tc>
          <w:tcPr>
            <w:tcW w:w="846" w:type="dxa"/>
          </w:tcPr>
          <w:p w14:paraId="6BEAD456"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14:paraId="2AE0E87F"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Macintosh</w:t>
            </w:r>
          </w:p>
        </w:tc>
        <w:tc>
          <w:tcPr>
            <w:tcW w:w="3828" w:type="dxa"/>
            <w:tcBorders>
              <w:top w:val="single" w:sz="4" w:space="0" w:color="auto"/>
              <w:left w:val="single" w:sz="4" w:space="0" w:color="auto"/>
              <w:bottom w:val="single" w:sz="4" w:space="0" w:color="auto"/>
              <w:right w:val="single" w:sz="4" w:space="0" w:color="auto"/>
            </w:tcBorders>
          </w:tcPr>
          <w:p w14:paraId="1144105A"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Safari ver. 13.1</w:t>
            </w:r>
          </w:p>
        </w:tc>
        <w:tc>
          <w:tcPr>
            <w:tcW w:w="2268" w:type="dxa"/>
            <w:tcBorders>
              <w:top w:val="single" w:sz="4" w:space="0" w:color="auto"/>
              <w:left w:val="single" w:sz="4" w:space="0" w:color="auto"/>
              <w:bottom w:val="single" w:sz="4" w:space="0" w:color="auto"/>
              <w:right w:val="single" w:sz="4" w:space="0" w:color="auto"/>
            </w:tcBorders>
          </w:tcPr>
          <w:p w14:paraId="7B3419B8"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142E7874" w14:textId="77777777" w:rsidTr="00B524A6">
        <w:tc>
          <w:tcPr>
            <w:tcW w:w="846" w:type="dxa"/>
          </w:tcPr>
          <w:p w14:paraId="56683836"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14:paraId="77415178"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Macintosh</w:t>
            </w:r>
          </w:p>
        </w:tc>
        <w:tc>
          <w:tcPr>
            <w:tcW w:w="3828" w:type="dxa"/>
            <w:tcBorders>
              <w:top w:val="single" w:sz="4" w:space="0" w:color="auto"/>
              <w:left w:val="single" w:sz="4" w:space="0" w:color="auto"/>
              <w:bottom w:val="single" w:sz="4" w:space="0" w:color="auto"/>
              <w:right w:val="single" w:sz="4" w:space="0" w:color="auto"/>
            </w:tcBorders>
          </w:tcPr>
          <w:p w14:paraId="1FDF7157"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Firefox ver. 82.0.x</w:t>
            </w:r>
          </w:p>
        </w:tc>
        <w:tc>
          <w:tcPr>
            <w:tcW w:w="2268" w:type="dxa"/>
            <w:tcBorders>
              <w:top w:val="single" w:sz="4" w:space="0" w:color="auto"/>
              <w:left w:val="single" w:sz="4" w:space="0" w:color="auto"/>
              <w:bottom w:val="single" w:sz="4" w:space="0" w:color="auto"/>
              <w:right w:val="single" w:sz="4" w:space="0" w:color="auto"/>
            </w:tcBorders>
          </w:tcPr>
          <w:p w14:paraId="5A0BDD1D"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62AA7B87" w14:textId="77777777" w:rsidTr="00B524A6">
        <w:tc>
          <w:tcPr>
            <w:tcW w:w="846" w:type="dxa"/>
          </w:tcPr>
          <w:p w14:paraId="55CFC897"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7</w:t>
            </w:r>
          </w:p>
        </w:tc>
        <w:tc>
          <w:tcPr>
            <w:tcW w:w="1984" w:type="dxa"/>
          </w:tcPr>
          <w:p w14:paraId="1F4F2984"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Ubuntu 16.04</w:t>
            </w:r>
          </w:p>
        </w:tc>
        <w:tc>
          <w:tcPr>
            <w:tcW w:w="3828" w:type="dxa"/>
          </w:tcPr>
          <w:p w14:paraId="3AF86C91"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Firefox ver. 82.0.x</w:t>
            </w:r>
          </w:p>
        </w:tc>
        <w:tc>
          <w:tcPr>
            <w:tcW w:w="2268" w:type="dxa"/>
          </w:tcPr>
          <w:p w14:paraId="6769D8AE"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r w:rsidR="005A7C5C" w:rsidRPr="008F5D10" w14:paraId="2AFD75F9" w14:textId="77777777" w:rsidTr="00B524A6">
        <w:tc>
          <w:tcPr>
            <w:tcW w:w="846" w:type="dxa"/>
          </w:tcPr>
          <w:p w14:paraId="4151CE99" w14:textId="77777777" w:rsidR="005A7C5C" w:rsidRPr="008F5D10" w:rsidRDefault="005A7C5C" w:rsidP="00B524A6">
            <w:pPr>
              <w:spacing w:line="480" w:lineRule="auto"/>
              <w:jc w:val="center"/>
              <w:rPr>
                <w:rFonts w:ascii="Times New Roman" w:hAnsi="Times New Roman" w:cs="Times New Roman"/>
                <w:sz w:val="24"/>
                <w:szCs w:val="24"/>
              </w:rPr>
            </w:pPr>
            <w:r w:rsidRPr="008F5D10">
              <w:rPr>
                <w:rFonts w:ascii="Times New Roman" w:hAnsi="Times New Roman" w:cs="Times New Roman"/>
                <w:sz w:val="24"/>
                <w:szCs w:val="24"/>
              </w:rPr>
              <w:t>8</w:t>
            </w:r>
          </w:p>
        </w:tc>
        <w:tc>
          <w:tcPr>
            <w:tcW w:w="1984" w:type="dxa"/>
          </w:tcPr>
          <w:p w14:paraId="7A6F9447"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Ubuntu 16.04</w:t>
            </w:r>
          </w:p>
        </w:tc>
        <w:tc>
          <w:tcPr>
            <w:tcW w:w="3828" w:type="dxa"/>
          </w:tcPr>
          <w:p w14:paraId="259859B0"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Google chrome ver. 74.0.x</w:t>
            </w:r>
          </w:p>
        </w:tc>
        <w:tc>
          <w:tcPr>
            <w:tcW w:w="2268" w:type="dxa"/>
          </w:tcPr>
          <w:p w14:paraId="60B56C02" w14:textId="77777777" w:rsidR="005A7C5C" w:rsidRPr="008F5D10" w:rsidRDefault="005A7C5C" w:rsidP="00B524A6">
            <w:pPr>
              <w:spacing w:line="480" w:lineRule="auto"/>
              <w:rPr>
                <w:rFonts w:ascii="Times New Roman" w:hAnsi="Times New Roman" w:cs="Times New Roman"/>
                <w:sz w:val="24"/>
                <w:szCs w:val="24"/>
              </w:rPr>
            </w:pPr>
            <w:r w:rsidRPr="008F5D10">
              <w:rPr>
                <w:rFonts w:ascii="Times New Roman" w:hAnsi="Times New Roman" w:cs="Times New Roman"/>
                <w:sz w:val="24"/>
                <w:szCs w:val="24"/>
              </w:rPr>
              <w:t>Yes</w:t>
            </w:r>
          </w:p>
        </w:tc>
      </w:tr>
    </w:tbl>
    <w:p w14:paraId="4383D137" w14:textId="58A3A4DA" w:rsidR="005A7C5C" w:rsidRDefault="005A7C5C">
      <w:pPr>
        <w:rPr>
          <w:rFonts w:ascii="Times New Roman" w:hAnsi="Times New Roman" w:cs="Times New Roman"/>
          <w:b/>
          <w:bCs/>
          <w:noProof/>
          <w:sz w:val="24"/>
          <w:szCs w:val="24"/>
          <w:bdr w:val="none" w:sz="0" w:space="0" w:color="auto" w:frame="1"/>
        </w:rPr>
      </w:pPr>
    </w:p>
    <w:p w14:paraId="3880C744" w14:textId="77777777" w:rsidR="00382C07" w:rsidRDefault="00382C07" w:rsidP="00F95182">
      <w:pPr>
        <w:spacing w:line="480" w:lineRule="auto"/>
        <w:jc w:val="both"/>
        <w:rPr>
          <w:rFonts w:ascii="Times New Roman" w:hAnsi="Times New Roman" w:cs="Times New Roman"/>
          <w:b/>
          <w:bCs/>
          <w:noProof/>
          <w:sz w:val="24"/>
          <w:szCs w:val="24"/>
          <w:bdr w:val="none" w:sz="0" w:space="0" w:color="auto" w:frame="1"/>
        </w:rPr>
      </w:pPr>
      <w:r>
        <w:rPr>
          <w:rFonts w:ascii="Times New Roman" w:hAnsi="Times New Roman" w:cs="Times New Roman"/>
          <w:b/>
          <w:bCs/>
          <w:noProof/>
          <w:sz w:val="24"/>
          <w:szCs w:val="24"/>
          <w:bdr w:val="none" w:sz="0" w:space="0" w:color="auto" w:frame="1"/>
        </w:rPr>
        <w:t>Case study</w:t>
      </w:r>
    </w:p>
    <w:p w14:paraId="054BDA54" w14:textId="0B51D3C5" w:rsidR="00AD048E" w:rsidRPr="00382C07" w:rsidRDefault="00B55CB2" w:rsidP="00F95182">
      <w:pPr>
        <w:spacing w:line="480" w:lineRule="auto"/>
        <w:jc w:val="both"/>
        <w:rPr>
          <w:rFonts w:ascii="Times New Roman" w:hAnsi="Times New Roman" w:cs="Times New Roman"/>
          <w:noProof/>
          <w:sz w:val="24"/>
          <w:szCs w:val="24"/>
          <w:bdr w:val="none" w:sz="0" w:space="0" w:color="auto" w:frame="1"/>
        </w:rPr>
      </w:pPr>
      <w:r w:rsidRPr="00382C07">
        <w:rPr>
          <w:rFonts w:ascii="Times New Roman" w:hAnsi="Times New Roman" w:cs="Times New Roman"/>
          <w:noProof/>
          <w:sz w:val="24"/>
          <w:szCs w:val="24"/>
          <w:bdr w:val="none" w:sz="0" w:space="0" w:color="auto" w:frame="1"/>
        </w:rPr>
        <w:t>A</w:t>
      </w:r>
      <w:r w:rsidR="00AD048E" w:rsidRPr="00382C07">
        <w:rPr>
          <w:rFonts w:ascii="Times New Roman" w:hAnsi="Times New Roman" w:cs="Times New Roman"/>
          <w:sz w:val="24"/>
          <w:szCs w:val="24"/>
          <w:bdr w:val="none" w:sz="0" w:space="0" w:color="auto" w:frame="1"/>
        </w:rPr>
        <w:t xml:space="preserve"> case study with SARS-CoV-2 proteins</w:t>
      </w:r>
      <w:r w:rsidR="00382C07">
        <w:rPr>
          <w:rFonts w:ascii="Times New Roman" w:hAnsi="Times New Roman" w:cs="Times New Roman"/>
          <w:sz w:val="24"/>
          <w:szCs w:val="24"/>
          <w:bdr w:val="none" w:sz="0" w:space="0" w:color="auto" w:frame="1"/>
        </w:rPr>
        <w:t>:</w:t>
      </w:r>
    </w:p>
    <w:p w14:paraId="03AA9311" w14:textId="2B6F8C01" w:rsidR="001241EF" w:rsidRDefault="00AD048E" w:rsidP="00F95182">
      <w:pPr>
        <w:spacing w:line="480" w:lineRule="auto"/>
        <w:jc w:val="both"/>
        <w:rPr>
          <w:rFonts w:ascii="Times New Roman" w:hAnsi="Times New Roman" w:cs="Times New Roman"/>
          <w:sz w:val="24"/>
          <w:szCs w:val="24"/>
          <w:bdr w:val="none" w:sz="0" w:space="0" w:color="auto" w:frame="1"/>
        </w:rPr>
      </w:pPr>
      <w:r w:rsidRPr="00F95182">
        <w:rPr>
          <w:rFonts w:ascii="Times New Roman" w:hAnsi="Times New Roman" w:cs="Times New Roman"/>
          <w:b/>
          <w:bCs/>
          <w:sz w:val="24"/>
          <w:szCs w:val="24"/>
          <w:bdr w:val="none" w:sz="0" w:space="0" w:color="auto" w:frame="1"/>
        </w:rPr>
        <w:t xml:space="preserve">MODE-1: </w:t>
      </w:r>
      <w:r w:rsidRPr="00F95182">
        <w:rPr>
          <w:rFonts w:ascii="Times New Roman" w:hAnsi="Times New Roman" w:cs="Times New Roman"/>
          <w:sz w:val="24"/>
          <w:szCs w:val="24"/>
          <w:bdr w:val="none" w:sz="0" w:space="0" w:color="auto" w:frame="1"/>
        </w:rPr>
        <w:t>The protein sequences of SARS-CoV-2 (the causative agent for C</w:t>
      </w:r>
      <w:r w:rsidR="00B55CB2" w:rsidRPr="00F95182">
        <w:rPr>
          <w:rFonts w:ascii="Times New Roman" w:hAnsi="Times New Roman" w:cs="Times New Roman"/>
          <w:sz w:val="24"/>
          <w:szCs w:val="24"/>
          <w:bdr w:val="none" w:sz="0" w:space="0" w:color="auto" w:frame="1"/>
        </w:rPr>
        <w:t>o</w:t>
      </w:r>
      <w:r w:rsidRPr="00F95182">
        <w:rPr>
          <w:rFonts w:ascii="Times New Roman" w:hAnsi="Times New Roman" w:cs="Times New Roman"/>
          <w:sz w:val="24"/>
          <w:szCs w:val="24"/>
          <w:bdr w:val="none" w:sz="0" w:space="0" w:color="auto" w:frame="1"/>
        </w:rPr>
        <w:t>vid-19)</w:t>
      </w:r>
      <w:r w:rsidRPr="00F95182">
        <w:rPr>
          <w:rFonts w:ascii="Times New Roman" w:hAnsi="Times New Roman" w:cs="Times New Roman"/>
          <w:b/>
          <w:bCs/>
          <w:sz w:val="24"/>
          <w:szCs w:val="24"/>
          <w:bdr w:val="none" w:sz="0" w:space="0" w:color="auto" w:frame="1"/>
        </w:rPr>
        <w:t xml:space="preserve"> </w:t>
      </w:r>
      <w:r w:rsidRPr="00F95182">
        <w:rPr>
          <w:rFonts w:ascii="Times New Roman" w:hAnsi="Times New Roman" w:cs="Times New Roman"/>
          <w:sz w:val="24"/>
          <w:szCs w:val="24"/>
          <w:bdr w:val="none" w:sz="0" w:space="0" w:color="auto" w:frame="1"/>
        </w:rPr>
        <w:t>correspond</w:t>
      </w:r>
      <w:r w:rsidR="00964B7A" w:rsidRPr="00F95182">
        <w:rPr>
          <w:rFonts w:ascii="Times New Roman" w:hAnsi="Times New Roman" w:cs="Times New Roman"/>
          <w:sz w:val="24"/>
          <w:szCs w:val="24"/>
          <w:bdr w:val="none" w:sz="0" w:space="0" w:color="auto" w:frame="1"/>
        </w:rPr>
        <w:t>ing</w:t>
      </w:r>
      <w:r w:rsidRPr="00F95182">
        <w:rPr>
          <w:rFonts w:ascii="Times New Roman" w:hAnsi="Times New Roman" w:cs="Times New Roman"/>
          <w:sz w:val="24"/>
          <w:szCs w:val="24"/>
          <w:bdr w:val="none" w:sz="0" w:space="0" w:color="auto" w:frame="1"/>
        </w:rPr>
        <w:t xml:space="preserve"> to the reviewed entries in UniProt</w:t>
      </w:r>
      <w:r w:rsidRPr="00F95182">
        <w:rPr>
          <w:rFonts w:ascii="Times New Roman" w:hAnsi="Times New Roman" w:cs="Times New Roman"/>
          <w:sz w:val="24"/>
          <w:szCs w:val="24"/>
          <w:bdr w:val="none" w:sz="0" w:space="0" w:color="auto" w:frame="1"/>
        </w:rPr>
        <w:fldChar w:fldCharType="begin" w:fldLock="1"/>
      </w:r>
      <w:r w:rsidR="002A697C">
        <w:rPr>
          <w:rFonts w:ascii="Times New Roman" w:hAnsi="Times New Roman" w:cs="Times New Roman"/>
          <w:sz w:val="24"/>
          <w:szCs w:val="24"/>
          <w:bdr w:val="none" w:sz="0" w:space="0" w:color="auto" w:frame="1"/>
        </w:rPr>
        <w:instrText>ADDIN CSL_CITATION {"citationItems":[{"id":"ITEM-1","itemData":{"DOI":"10.1093/nar/gky1049","ISSN":"0305-1048","abstract":"The UniProt Knowledgebase is a collection of sequences and annotations for over 120 million proteins across all branches of life. Detailed annotations extracted from the literature by expert curators have been collected for over half a million of these proteins. These annotations are supplemented by annotations provided by rule based automated systems, and those imported from other resources. In this article we describe significant updates that we have made over the last 2 years to the resource. We have greatly expanded the number of Reference Proteomes that we provide and in particular we have focussed on improving the number of viral Reference Proteomes. The UniProt website has been augmented with new data visualizations for the subcellular localization of proteins as well as their structure and interactions. UniProt resources are available under a CC-BY (4.0) license via the web at https://www.uniprot.org/.","author":[{"dropping-particle":"","family":"Consortium","given":"The UniProt","non-dropping-particle":"","parse-names":false,"suffix":""}],"container-title":"Nucleic Acids Research","id":"ITEM-1","issue":"D1","issued":{"date-parts":[["2018","11","5"]]},"page":"D506-D515","title":"UniProt: a worldwide hub of protein knowledge","type":"article-journal","volume":"47"},"uris":["http://www.mendeley.com/documents/?uuid=0126ca7a-f789-4cb5-a747-866dac583bef"]}],"mendeley":{"formattedCitation":"&lt;sup&gt;1&lt;/sup&gt;","plainTextFormattedCitation":"1","previouslyFormattedCitation":"(Consortium, 2018)"},"properties":{"noteIndex":0},"schema":"https://github.com/citation-style-language/schema/raw/master/csl-citation.json"}</w:instrText>
      </w:r>
      <w:r w:rsidRPr="00F95182">
        <w:rPr>
          <w:rFonts w:ascii="Times New Roman" w:hAnsi="Times New Roman" w:cs="Times New Roman"/>
          <w:sz w:val="24"/>
          <w:szCs w:val="24"/>
          <w:bdr w:val="none" w:sz="0" w:space="0" w:color="auto" w:frame="1"/>
        </w:rPr>
        <w:fldChar w:fldCharType="separate"/>
      </w:r>
      <w:r w:rsidR="002A697C" w:rsidRPr="002A697C">
        <w:rPr>
          <w:rFonts w:ascii="Times New Roman" w:hAnsi="Times New Roman" w:cs="Times New Roman"/>
          <w:noProof/>
          <w:sz w:val="24"/>
          <w:szCs w:val="24"/>
          <w:bdr w:val="none" w:sz="0" w:space="0" w:color="auto" w:frame="1"/>
          <w:vertAlign w:val="superscript"/>
        </w:rPr>
        <w:t>1</w:t>
      </w:r>
      <w:r w:rsidRPr="00F95182">
        <w:rPr>
          <w:rFonts w:ascii="Times New Roman" w:hAnsi="Times New Roman" w:cs="Times New Roman"/>
          <w:sz w:val="24"/>
          <w:szCs w:val="24"/>
          <w:bdr w:val="none" w:sz="0" w:space="0" w:color="auto" w:frame="1"/>
        </w:rPr>
        <w:fldChar w:fldCharType="end"/>
      </w:r>
      <w:r w:rsidRPr="00F95182">
        <w:rPr>
          <w:rFonts w:ascii="Times New Roman" w:hAnsi="Times New Roman" w:cs="Times New Roman"/>
          <w:sz w:val="24"/>
          <w:szCs w:val="24"/>
          <w:bdr w:val="none" w:sz="0" w:space="0" w:color="auto" w:frame="1"/>
        </w:rPr>
        <w:t xml:space="preserve"> were retrieved and submitted to NOD. </w:t>
      </w:r>
      <w:r w:rsidR="000F44BC" w:rsidRPr="00F95182">
        <w:rPr>
          <w:rFonts w:ascii="Times New Roman" w:hAnsi="Times New Roman" w:cs="Times New Roman"/>
          <w:sz w:val="24"/>
          <w:szCs w:val="24"/>
          <w:bdr w:val="none" w:sz="0" w:space="0" w:color="auto" w:frame="1"/>
        </w:rPr>
        <w:t xml:space="preserve">16 </w:t>
      </w:r>
      <w:r w:rsidR="000F44BC">
        <w:rPr>
          <w:rFonts w:ascii="Times New Roman" w:hAnsi="Times New Roman" w:cs="Times New Roman"/>
          <w:sz w:val="24"/>
          <w:szCs w:val="24"/>
          <w:bdr w:val="none" w:sz="0" w:space="0" w:color="auto" w:frame="1"/>
        </w:rPr>
        <w:t xml:space="preserve">SARS-CoV-2 protein </w:t>
      </w:r>
      <w:r w:rsidR="000F44BC" w:rsidRPr="00F95182">
        <w:rPr>
          <w:rFonts w:ascii="Times New Roman" w:hAnsi="Times New Roman" w:cs="Times New Roman"/>
          <w:sz w:val="24"/>
          <w:szCs w:val="24"/>
          <w:bdr w:val="none" w:sz="0" w:space="0" w:color="auto" w:frame="1"/>
        </w:rPr>
        <w:t xml:space="preserve">sequences </w:t>
      </w:r>
      <w:r w:rsidR="000F44BC">
        <w:rPr>
          <w:rFonts w:ascii="Times New Roman" w:hAnsi="Times New Roman" w:cs="Times New Roman"/>
          <w:sz w:val="24"/>
          <w:szCs w:val="24"/>
          <w:bdr w:val="none" w:sz="0" w:space="0" w:color="auto" w:frame="1"/>
        </w:rPr>
        <w:t>had ‘reviewed’ status in the UniProt at the time of conducting this study.</w:t>
      </w:r>
      <w:r w:rsidR="000F44BC" w:rsidRPr="00F95182">
        <w:rPr>
          <w:rFonts w:ascii="Times New Roman" w:hAnsi="Times New Roman" w:cs="Times New Roman"/>
          <w:sz w:val="24"/>
          <w:szCs w:val="24"/>
          <w:bdr w:val="none" w:sz="0" w:space="0" w:color="auto" w:frame="1"/>
        </w:rPr>
        <w:t xml:space="preserve"> </w:t>
      </w:r>
      <w:r w:rsidRPr="00F95182">
        <w:rPr>
          <w:rFonts w:ascii="Times New Roman" w:hAnsi="Times New Roman" w:cs="Times New Roman"/>
          <w:sz w:val="24"/>
          <w:szCs w:val="24"/>
          <w:bdr w:val="none" w:sz="0" w:space="0" w:color="auto" w:frame="1"/>
        </w:rPr>
        <w:t xml:space="preserve">These </w:t>
      </w:r>
      <w:r w:rsidR="000F44BC">
        <w:rPr>
          <w:rFonts w:ascii="Times New Roman" w:hAnsi="Times New Roman" w:cs="Times New Roman"/>
          <w:sz w:val="24"/>
          <w:szCs w:val="24"/>
          <w:bdr w:val="none" w:sz="0" w:space="0" w:color="auto" w:frame="1"/>
        </w:rPr>
        <w:t xml:space="preserve">16 </w:t>
      </w:r>
      <w:r w:rsidRPr="00F95182">
        <w:rPr>
          <w:rFonts w:ascii="Times New Roman" w:hAnsi="Times New Roman" w:cs="Times New Roman"/>
          <w:sz w:val="24"/>
          <w:szCs w:val="24"/>
          <w:bdr w:val="none" w:sz="0" w:space="0" w:color="auto" w:frame="1"/>
        </w:rPr>
        <w:t xml:space="preserve">sequences include the proteins </w:t>
      </w:r>
      <w:r w:rsidR="005B2C44" w:rsidRPr="00F95182">
        <w:rPr>
          <w:rFonts w:ascii="Times New Roman" w:hAnsi="Times New Roman" w:cs="Times New Roman"/>
          <w:sz w:val="24"/>
          <w:szCs w:val="24"/>
          <w:bdr w:val="none" w:sz="0" w:space="0" w:color="auto" w:frame="1"/>
        </w:rPr>
        <w:t xml:space="preserve">like </w:t>
      </w:r>
      <w:r w:rsidRPr="00F95182">
        <w:rPr>
          <w:rFonts w:ascii="Times New Roman" w:hAnsi="Times New Roman" w:cs="Times New Roman"/>
          <w:sz w:val="24"/>
          <w:szCs w:val="24"/>
          <w:bdr w:val="none" w:sz="0" w:space="0" w:color="auto" w:frame="1"/>
        </w:rPr>
        <w:t xml:space="preserve">replicase polyprotein 1ab, spike glycoprotein, M protein, nucleoprotein etc. (for details, see </w:t>
      </w:r>
      <w:r w:rsidR="009B1DDB" w:rsidRPr="00F95182">
        <w:rPr>
          <w:rFonts w:ascii="Times New Roman" w:hAnsi="Times New Roman" w:cs="Times New Roman"/>
          <w:sz w:val="24"/>
          <w:szCs w:val="24"/>
          <w:bdr w:val="none" w:sz="0" w:space="0" w:color="auto" w:frame="1"/>
        </w:rPr>
        <w:t>Table S4</w:t>
      </w:r>
      <w:r w:rsidRPr="00F95182">
        <w:rPr>
          <w:rFonts w:ascii="Times New Roman" w:hAnsi="Times New Roman" w:cs="Times New Roman"/>
          <w:sz w:val="24"/>
          <w:szCs w:val="24"/>
          <w:bdr w:val="none" w:sz="0" w:space="0" w:color="auto" w:frame="1"/>
        </w:rPr>
        <w:t>). Such an all-inclusive approach where multiple (or even all) proteins of a pathogen are queried</w:t>
      </w:r>
      <w:r w:rsidR="00345A0E"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w:t>
      </w:r>
      <w:r w:rsidR="00B55CB2" w:rsidRPr="00F95182">
        <w:rPr>
          <w:rFonts w:ascii="Times New Roman" w:hAnsi="Times New Roman" w:cs="Times New Roman"/>
          <w:sz w:val="24"/>
          <w:szCs w:val="24"/>
          <w:bdr w:val="none" w:sz="0" w:space="0" w:color="auto" w:frame="1"/>
        </w:rPr>
        <w:t>minimizes</w:t>
      </w:r>
      <w:r w:rsidRPr="00F95182">
        <w:rPr>
          <w:rFonts w:ascii="Times New Roman" w:hAnsi="Times New Roman" w:cs="Times New Roman"/>
          <w:sz w:val="24"/>
          <w:szCs w:val="24"/>
          <w:bdr w:val="none" w:sz="0" w:space="0" w:color="auto" w:frame="1"/>
        </w:rPr>
        <w:t xml:space="preserve"> the chances of missing any interesting candidate </w:t>
      </w:r>
      <w:r w:rsidR="00B55CB2" w:rsidRPr="00F95182">
        <w:rPr>
          <w:rFonts w:ascii="Times New Roman" w:hAnsi="Times New Roman" w:cs="Times New Roman"/>
          <w:sz w:val="24"/>
          <w:szCs w:val="24"/>
          <w:bdr w:val="none" w:sz="0" w:space="0" w:color="auto" w:frame="1"/>
        </w:rPr>
        <w:t>compound</w:t>
      </w:r>
      <w:r w:rsidRPr="00F95182">
        <w:rPr>
          <w:rFonts w:ascii="Times New Roman" w:hAnsi="Times New Roman" w:cs="Times New Roman"/>
          <w:sz w:val="24"/>
          <w:szCs w:val="24"/>
          <w:bdr w:val="none" w:sz="0" w:space="0" w:color="auto" w:frame="1"/>
        </w:rPr>
        <w:t xml:space="preserve"> that might have the potential to be repurposed against any protein target implicated in the disease of interest. NOD could find reliable homologs for 2 out of the 1</w:t>
      </w:r>
      <w:r w:rsidR="00DE27F2" w:rsidRPr="00F95182">
        <w:rPr>
          <w:rFonts w:ascii="Times New Roman" w:hAnsi="Times New Roman" w:cs="Times New Roman"/>
          <w:sz w:val="24"/>
          <w:szCs w:val="24"/>
          <w:bdr w:val="none" w:sz="0" w:space="0" w:color="auto" w:frame="1"/>
        </w:rPr>
        <w:t>6</w:t>
      </w:r>
      <w:r w:rsidRPr="00F95182">
        <w:rPr>
          <w:rFonts w:ascii="Times New Roman" w:hAnsi="Times New Roman" w:cs="Times New Roman"/>
          <w:sz w:val="24"/>
          <w:szCs w:val="24"/>
          <w:bdr w:val="none" w:sz="0" w:space="0" w:color="auto" w:frame="1"/>
        </w:rPr>
        <w:t xml:space="preserve"> queried SARS-CoV-2 proteins from the DrugBank target </w:t>
      </w:r>
      <w:r w:rsidRPr="00F95182">
        <w:rPr>
          <w:rFonts w:ascii="Times New Roman" w:hAnsi="Times New Roman" w:cs="Times New Roman"/>
          <w:sz w:val="24"/>
          <w:szCs w:val="24"/>
          <w:bdr w:val="none" w:sz="0" w:space="0" w:color="auto" w:frame="1"/>
        </w:rPr>
        <w:lastRenderedPageBreak/>
        <w:t>sequence database. Subsequently, 20 unique query-target-c</w:t>
      </w:r>
      <w:r w:rsidR="00345A0E" w:rsidRPr="00F95182">
        <w:rPr>
          <w:rFonts w:ascii="Times New Roman" w:hAnsi="Times New Roman" w:cs="Times New Roman"/>
          <w:sz w:val="24"/>
          <w:szCs w:val="24"/>
          <w:bdr w:val="none" w:sz="0" w:space="0" w:color="auto" w:frame="1"/>
        </w:rPr>
        <w:t>ompound</w:t>
      </w:r>
      <w:r w:rsidRPr="00F95182">
        <w:rPr>
          <w:rFonts w:ascii="Times New Roman" w:hAnsi="Times New Roman" w:cs="Times New Roman"/>
          <w:sz w:val="24"/>
          <w:szCs w:val="24"/>
          <w:bdr w:val="none" w:sz="0" w:space="0" w:color="auto" w:frame="1"/>
        </w:rPr>
        <w:t xml:space="preserve"> </w:t>
      </w:r>
      <w:r w:rsidR="00A478F6">
        <w:rPr>
          <w:rFonts w:ascii="Times New Roman" w:hAnsi="Times New Roman" w:cs="Times New Roman"/>
          <w:sz w:val="24"/>
          <w:szCs w:val="24"/>
          <w:bdr w:val="none" w:sz="0" w:space="0" w:color="auto" w:frame="1"/>
        </w:rPr>
        <w:t xml:space="preserve">(QTC) </w:t>
      </w:r>
      <w:r w:rsidRPr="00F95182">
        <w:rPr>
          <w:rFonts w:ascii="Times New Roman" w:hAnsi="Times New Roman" w:cs="Times New Roman"/>
          <w:sz w:val="24"/>
          <w:szCs w:val="24"/>
          <w:bdr w:val="none" w:sz="0" w:space="0" w:color="auto" w:frame="1"/>
        </w:rPr>
        <w:t>associations were generated by NOD</w:t>
      </w:r>
      <w:r w:rsidR="00C5281D"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and the entire job was completed in just </w:t>
      </w:r>
      <w:r w:rsidR="00EC2877" w:rsidRPr="00F95182">
        <w:rPr>
          <w:rFonts w:ascii="Times New Roman" w:hAnsi="Times New Roman" w:cs="Times New Roman"/>
          <w:sz w:val="24"/>
          <w:szCs w:val="24"/>
          <w:bdr w:val="none" w:sz="0" w:space="0" w:color="auto" w:frame="1"/>
        </w:rPr>
        <w:t>285.89</w:t>
      </w:r>
      <w:r w:rsidRPr="00F95182">
        <w:rPr>
          <w:rFonts w:ascii="Times New Roman" w:hAnsi="Times New Roman" w:cs="Times New Roman"/>
          <w:sz w:val="24"/>
          <w:szCs w:val="24"/>
          <w:bdr w:val="none" w:sz="0" w:space="0" w:color="auto" w:frame="1"/>
        </w:rPr>
        <w:t xml:space="preserve"> seconds. Fig. S</w:t>
      </w:r>
      <w:r w:rsidR="002A697C">
        <w:rPr>
          <w:rFonts w:ascii="Times New Roman" w:hAnsi="Times New Roman" w:cs="Times New Roman"/>
          <w:sz w:val="24"/>
          <w:szCs w:val="24"/>
          <w:bdr w:val="none" w:sz="0" w:space="0" w:color="auto" w:frame="1"/>
        </w:rPr>
        <w:t>1</w:t>
      </w:r>
      <w:r w:rsidRPr="00F95182">
        <w:rPr>
          <w:rFonts w:ascii="Times New Roman" w:hAnsi="Times New Roman" w:cs="Times New Roman"/>
          <w:sz w:val="24"/>
          <w:szCs w:val="24"/>
          <w:bdr w:val="none" w:sz="0" w:space="0" w:color="auto" w:frame="1"/>
        </w:rPr>
        <w:t xml:space="preserve"> shows a step-by-step flow of events </w:t>
      </w:r>
      <w:r w:rsidR="005B2C44" w:rsidRPr="00F95182">
        <w:rPr>
          <w:rFonts w:ascii="Times New Roman" w:hAnsi="Times New Roman" w:cs="Times New Roman"/>
          <w:sz w:val="24"/>
          <w:szCs w:val="24"/>
          <w:bdr w:val="none" w:sz="0" w:space="0" w:color="auto" w:frame="1"/>
        </w:rPr>
        <w:t xml:space="preserve">on </w:t>
      </w:r>
      <w:r w:rsidRPr="00F95182">
        <w:rPr>
          <w:rFonts w:ascii="Times New Roman" w:hAnsi="Times New Roman" w:cs="Times New Roman"/>
          <w:sz w:val="24"/>
          <w:szCs w:val="24"/>
          <w:bdr w:val="none" w:sz="0" w:space="0" w:color="auto" w:frame="1"/>
        </w:rPr>
        <w:t>NOD</w:t>
      </w:r>
      <w:r w:rsidR="00A478F6">
        <w:rPr>
          <w:rFonts w:ascii="Times New Roman" w:hAnsi="Times New Roman" w:cs="Times New Roman"/>
          <w:sz w:val="24"/>
          <w:szCs w:val="24"/>
          <w:bdr w:val="none" w:sz="0" w:space="0" w:color="auto" w:frame="1"/>
        </w:rPr>
        <w:t xml:space="preserve"> </w:t>
      </w:r>
      <w:r w:rsidRPr="00F95182">
        <w:rPr>
          <w:rFonts w:ascii="Times New Roman" w:hAnsi="Times New Roman" w:cs="Times New Roman"/>
          <w:sz w:val="24"/>
          <w:szCs w:val="24"/>
          <w:bdr w:val="none" w:sz="0" w:space="0" w:color="auto" w:frame="1"/>
        </w:rPr>
        <w:t>web-interface upon submission of a job under MODE-1 operation. As could be seen in the fifth step of Fig. S</w:t>
      </w:r>
      <w:r w:rsidR="00F95182">
        <w:rPr>
          <w:rFonts w:ascii="Times New Roman" w:hAnsi="Times New Roman" w:cs="Times New Roman"/>
          <w:sz w:val="24"/>
          <w:szCs w:val="24"/>
          <w:bdr w:val="none" w:sz="0" w:space="0" w:color="auto" w:frame="1"/>
        </w:rPr>
        <w:t>1</w:t>
      </w:r>
      <w:r w:rsidRPr="00F95182">
        <w:rPr>
          <w:rFonts w:ascii="Times New Roman" w:hAnsi="Times New Roman" w:cs="Times New Roman"/>
          <w:sz w:val="24"/>
          <w:szCs w:val="24"/>
          <w:bdr w:val="none" w:sz="0" w:space="0" w:color="auto" w:frame="1"/>
        </w:rPr>
        <w:t xml:space="preserve">, NOD </w:t>
      </w:r>
      <w:r w:rsidR="00267CF1" w:rsidRPr="00F95182">
        <w:rPr>
          <w:rFonts w:ascii="Times New Roman" w:hAnsi="Times New Roman" w:cs="Times New Roman"/>
          <w:sz w:val="24"/>
          <w:szCs w:val="24"/>
          <w:bdr w:val="none" w:sz="0" w:space="0" w:color="auto" w:frame="1"/>
        </w:rPr>
        <w:t>identified</w:t>
      </w:r>
      <w:r w:rsidRPr="00F95182">
        <w:rPr>
          <w:rFonts w:ascii="Times New Roman" w:hAnsi="Times New Roman" w:cs="Times New Roman"/>
          <w:sz w:val="24"/>
          <w:szCs w:val="24"/>
          <w:bdr w:val="none" w:sz="0" w:space="0" w:color="auto" w:frame="1"/>
        </w:rPr>
        <w:t xml:space="preserve"> known antiviral agents like remdesivir and GS-4415</w:t>
      </w:r>
      <w:r w:rsidR="00141897" w:rsidRPr="00F95182">
        <w:rPr>
          <w:rFonts w:ascii="Times New Roman" w:hAnsi="Times New Roman" w:cs="Times New Roman"/>
          <w:sz w:val="24"/>
          <w:szCs w:val="24"/>
          <w:bdr w:val="none" w:sz="0" w:space="0" w:color="auto" w:frame="1"/>
        </w:rPr>
        <w:t>2</w:t>
      </w:r>
      <w:r w:rsidRPr="00F95182">
        <w:rPr>
          <w:rFonts w:ascii="Times New Roman" w:hAnsi="Times New Roman" w:cs="Times New Roman"/>
          <w:sz w:val="24"/>
          <w:szCs w:val="24"/>
          <w:bdr w:val="none" w:sz="0" w:space="0" w:color="auto" w:frame="1"/>
        </w:rPr>
        <w:t>4</w:t>
      </w:r>
      <w:r w:rsidR="00345A0E" w:rsidRPr="00F95182">
        <w:rPr>
          <w:rFonts w:ascii="Times New Roman" w:hAnsi="Times New Roman" w:cs="Times New Roman"/>
          <w:sz w:val="24"/>
          <w:szCs w:val="24"/>
          <w:bdr w:val="none" w:sz="0" w:space="0" w:color="auto" w:frame="1"/>
        </w:rPr>
        <w:t xml:space="preserve">, </w:t>
      </w:r>
      <w:r w:rsidRPr="00F95182">
        <w:rPr>
          <w:rFonts w:ascii="Times New Roman" w:hAnsi="Times New Roman" w:cs="Times New Roman"/>
          <w:sz w:val="24"/>
          <w:szCs w:val="24"/>
          <w:bdr w:val="none" w:sz="0" w:space="0" w:color="auto" w:frame="1"/>
        </w:rPr>
        <w:t>which are reported to be effective against coronavirus infections</w:t>
      </w:r>
      <w:r w:rsidRPr="00F95182">
        <w:rPr>
          <w:rFonts w:ascii="Times New Roman" w:hAnsi="Times New Roman" w:cs="Times New Roman"/>
          <w:sz w:val="24"/>
          <w:szCs w:val="24"/>
          <w:bdr w:val="none" w:sz="0" w:space="0" w:color="auto" w:frame="1"/>
        </w:rPr>
        <w:fldChar w:fldCharType="begin" w:fldLock="1"/>
      </w:r>
      <w:r w:rsidR="002A697C">
        <w:rPr>
          <w:rFonts w:ascii="Times New Roman" w:hAnsi="Times New Roman" w:cs="Times New Roman"/>
          <w:sz w:val="24"/>
          <w:szCs w:val="24"/>
          <w:bdr w:val="none" w:sz="0" w:space="0" w:color="auto" w:frame="1"/>
        </w:rPr>
        <w:instrText>ADDIN CSL_CITATION {"citationItems":[{"id":"ITEM-1","itemData":{"DOI":"10.1016/S0140-6736(20)31022-9","ISSN":"0140-6736","author":[{"dropping-particle":"","family":"Wang","given":"Yeming","non-dropping-particle":"","parse-names":false,"suffix":""},{"dropping-particle":"","family":"Zhang","given":"Dingyu","non-dropping-particle":"","parse-names":false,"suffix":""},{"dropping-particle":"","family":"Du","given":"Guanhua","non-dropping-particle":"","parse-names":false,"suffix":""},{"dropping-particle":"","family":"Du","given":"Ronghui","non-dropping-particle":"","parse-names":false,"suffix":""},{"dropping-particle":"","family":"Zhao","given":"Jianping","non-dropping-particle":"","parse-names":false,"suffix":""},{"dropping-particle":"","family":"Jin","given":"Yang","non-dropping-particle":"","parse-names":false,"suffix":""},{"dropping-particle":"","family":"Fu","given":"Shouzhi","non-dropping-particle":"","parse-names":false,"suffix":""},{"dropping-particle":"","family":"Gao","given":"Ling","non-dropping-particle":"","parse-names":false,"suffix":""},{"dropping-particle":"","family":"Cheng","given":"Zhenshun","non-dropping-particle":"","parse-names":false,"suffix":""},{"dropping-particle":"","family":"Lu","given":"Qiaofa","non-dropping-particle":"","parse-names":false,"suffix":""},{"dropping-particle":"","family":"Hu","given":"Yi","non-dropping-particle":"","parse-names":false,"suffix":""},{"dropping-particle":"","family":"Luo","given":"Guangwei","non-dropping-particle":"","parse-names":false,"suffix":""},{"dropping-particle":"","family":"Wang","given":"Ke","non-dropping-particle":"","parse-names":false,"suffix":""},{"dropping-particle":"","family":"Lu","given":"Yang","non-dropping-particle":"","parse-names":false,"suffix":""},{"dropping-particle":"","family":"Li","given":"Huadong","non-dropping-particle":"","parse-names":false,"suffix":""},{"dropping-particle":"","family":"Wang","given":"Shuzhen","non-dropping-particle":"","parse-names":false,"suffix":""},{"dropping-particle":"","family":"Ruan","given":"Shunan","non-dropping-particle":"","parse-names":false,"suffix":""},{"dropping-particle":"","family":"Yang","given":"Chengqing","non-dropping-particle":"","parse-names":false,"suffix":""},{"dropping-particle":"","family":"Mei","given":"Chunlin","non-dropping-particle":"","parse-names":false,"suffix":""},{"dropping-particle":"","family":"Wang","given":"Yi","non-dropping-particle":"","parse-names":false,"suffix":""},{"dropping-particle":"","family":"Ding","given":"Dan","non-dropping-particle":"","parse-names":false,"suffix":""},{"dropping-particle":"","family":"Wu","given":"Feng","non-dropping-particle":"","parse-names":false,"suffix":""},{"dropping-particle":"","family":"Tang","given":"Xin","non-dropping-particle":"","parse-names":false,"suffix":""},{"dropping-particle":"","family":"Ye","given":"Xianzhi","non-dropping-particle":"","parse-names":false,"suffix":""},{"dropping-particle":"","family":"Ye","given":"Yingchun","non-dropping-particle":"","parse-names":false,"suffix":""},{"dropping-particle":"","family":"Liu","given":"Bing","non-dropping-particle":"","parse-names":false,"suffix":""},{"dropping-particle":"","family":"Yang","given":"Jie","non-dropping-particle":"","parse-names":false,"suffix":""},{"dropping-particle":"","family":"Yin","given":"Wen","non-dropping-particle":"","parse-names":false,"suffix":""},{"dropping-particle":"","family":"Wang","given":"Aili","non-dropping-particle":"","parse-names":false,"suffix":""},{"dropping-particle":"","family":"Fan","given":"Guohui","non-dropping-particle":"","parse-names":false,"suffix":""},{"dropping-particle":"","family":"Zhou","given":"Fei","non-dropping-particle":"","parse-names":false,"suffix":""},{"dropping-particle":"","family":"Liu","given":"Zhibo","non-dropping-particle":"","parse-names":false,"suffix":""},{"dropping-particle":"","family":"Gu","given":"Xiaoying","non-dropping-particle":"","parse-names":false,"suffix":""},{"dropping-particle":"","family":"Xu","given":"Jiuyang","non-dropping-particle":"","parse-names":false,"suffix":""},{"dropping-particle":"","family":"Shang","given":"Lianhan","non-dropping-particle":"","parse-names":false,"suffix":""},{"dropping-particle":"","family":"Zhang","given":"Yi","non-dropping-particle":"","parse-names":false,"suffix":""},{"dropping-particle":"","family":"Cao","given":"Lianjun","non-dropping-particle":"","parse-names":false,"suffix":""},{"dropping-particle":"","family":"Guo","given":"Tingting","non-dropping-particle":"","parse-names":false,"suffix":""},{"dropping-particle":"","family":"Wan","given":"Yan","non-dropping-particle":"","parse-names":false,"suffix":""},{"dropping-particle":"","family":"Qin","given":"Hong","non-dropping-particle":"","parse-names":false,"suffix":""},{"dropping-particle":"","family":"Jiang","given":"Yushe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Cao","given":"Bin","non-dropping-particle":"","parse-names":false,"suffix":""},{"dropping-particle":"","family":"Wang","given":"Chen","non-dropping-particle":"","parse-names":false,"suffix":""}],"container-title":"The Lancet","id":"ITEM-1","issue":"10236","issued":{"date-parts":[["2020","5","16"]]},"note":"doi: 10.1016/S0140-6736(20)31022-9","page":"1569-1578","publisher":"Elsevier","title":"Remdesivir in adults with severe COVID-19: a randomised, double-blind, placebo-controlled, multicentre trial","type":"article-journal","volume":"395"},"uris":["http://www.mendeley.com/documents/?uuid=1c7813f6-3af2-4d5f-82df-fd729da6be65"]},{"id":"ITEM-2","itemData":{"DOI":"https://doi.org/10.1016/j.onehlt.2020.100128","ISSN":"2352-7714","abstract":"Recent international epidemics of coronavirus-associated illnesses underscore the urgent medical and public health need for vaccine development and regulatory body approved therapies. In particular, the current coronavirus disease 2019 (COVID-19) pandemic has quickly intensified interest in developing treatment options to mitigate impact on human life. Remdesivir (GS-5734™) is a broad-spectrum antiviral drug that is now being tested as a potential treatment for COVID-19 in international, multi-site clinical trials. Currently available evidence about the antiviral effects of remdesivir against coronaviruses is primarily based on in vitro and in vivo studies (including some on a chemically related compound, GS-441524™), which have demonstrated largely favorable findings. As the pandemic progresses, information from human compassionate use cases will continue to accumulate before the clinical trials are concluded. It is imperative for public health practitioners and the One Health community to stay up to date on the most promising potential therapeutic options that are under investigation. Thus, the purpose of this review is to synthesize the knowledge to date about remdesivir as a therapeutic option for coronaviruses, with a special focus on information relevant to the One Health community.","author":[{"dropping-particle":"","family":"Amirian","given":"E Susan","non-dropping-particle":"","parse-names":false,"suffix":""},{"dropping-particle":"","family":"Levy","given":"Julie K","non-dropping-particle":"","parse-names":false,"suffix":""}],"container-title":"One Health","id":"ITEM-2","issued":{"date-parts":[["2020"]]},"page":"100128","title":"Current knowledge about the antivirals remdesivir (GS-5734) and GS-441524 as therapeutic options for coronaviruses","type":"article-journal","volume":"9"},"uris":["http://www.mendeley.com/documents/?uuid=37bd00fa-8f5a-447a-bba5-da5384179835"]}],"mendeley":{"formattedCitation":"&lt;sup&gt;2,3&lt;/sup&gt;","plainTextFormattedCitation":"2,3","previouslyFormattedCitation":"(Wang &lt;i&gt;et al.&lt;/i&gt;, 2020; Amirian and Levy, 2020)"},"properties":{"noteIndex":0},"schema":"https://github.com/citation-style-language/schema/raw/master/csl-citation.json"}</w:instrText>
      </w:r>
      <w:r w:rsidRPr="00F95182">
        <w:rPr>
          <w:rFonts w:ascii="Times New Roman" w:hAnsi="Times New Roman" w:cs="Times New Roman"/>
          <w:sz w:val="24"/>
          <w:szCs w:val="24"/>
          <w:bdr w:val="none" w:sz="0" w:space="0" w:color="auto" w:frame="1"/>
        </w:rPr>
        <w:fldChar w:fldCharType="separate"/>
      </w:r>
      <w:r w:rsidR="002A697C" w:rsidRPr="002A697C">
        <w:rPr>
          <w:rFonts w:ascii="Times New Roman" w:hAnsi="Times New Roman" w:cs="Times New Roman"/>
          <w:noProof/>
          <w:sz w:val="24"/>
          <w:szCs w:val="24"/>
          <w:bdr w:val="none" w:sz="0" w:space="0" w:color="auto" w:frame="1"/>
          <w:vertAlign w:val="superscript"/>
        </w:rPr>
        <w:t>2,3</w:t>
      </w:r>
      <w:r w:rsidRPr="00F95182">
        <w:rPr>
          <w:rFonts w:ascii="Times New Roman" w:hAnsi="Times New Roman" w:cs="Times New Roman"/>
          <w:sz w:val="24"/>
          <w:szCs w:val="24"/>
          <w:bdr w:val="none" w:sz="0" w:space="0" w:color="auto" w:frame="1"/>
        </w:rPr>
        <w:fldChar w:fldCharType="end"/>
      </w:r>
      <w:r w:rsidR="00345A0E" w:rsidRPr="00F95182">
        <w:rPr>
          <w:rFonts w:ascii="Times New Roman" w:hAnsi="Times New Roman" w:cs="Times New Roman"/>
          <w:sz w:val="24"/>
          <w:szCs w:val="24"/>
          <w:bdr w:val="none" w:sz="0" w:space="0" w:color="auto" w:frame="1"/>
        </w:rPr>
        <w:t>. These compounds are</w:t>
      </w:r>
      <w:r w:rsidRPr="00F95182">
        <w:rPr>
          <w:rFonts w:ascii="Times New Roman" w:hAnsi="Times New Roman" w:cs="Times New Roman"/>
          <w:sz w:val="24"/>
          <w:szCs w:val="24"/>
          <w:bdr w:val="none" w:sz="0" w:space="0" w:color="auto" w:frame="1"/>
        </w:rPr>
        <w:t xml:space="preserve"> potential candidates </w:t>
      </w:r>
      <w:r w:rsidR="00456D05" w:rsidRPr="00F95182">
        <w:rPr>
          <w:rFonts w:ascii="Times New Roman" w:hAnsi="Times New Roman" w:cs="Times New Roman"/>
          <w:sz w:val="24"/>
          <w:szCs w:val="24"/>
          <w:bdr w:val="none" w:sz="0" w:space="0" w:color="auto" w:frame="1"/>
        </w:rPr>
        <w:t>that</w:t>
      </w:r>
      <w:r w:rsidRPr="00F95182">
        <w:rPr>
          <w:rFonts w:ascii="Times New Roman" w:hAnsi="Times New Roman" w:cs="Times New Roman"/>
          <w:sz w:val="24"/>
          <w:szCs w:val="24"/>
          <w:bdr w:val="none" w:sz="0" w:space="0" w:color="auto" w:frame="1"/>
        </w:rPr>
        <w:t xml:space="preserve"> may be probed for repurposing against replicase polyprotein 1a (UniProt accession code: P0DTC1) of SARS-CoV-2 based on its detected homology with replicase polyprotein 1ab (UniProt accession code: P0C6X7) of SARS-CoV. The alignment between the two protein sequences (query and target) spans over almost the entire length (99.</w:t>
      </w:r>
      <w:r w:rsidR="00E83467" w:rsidRPr="00F95182">
        <w:rPr>
          <w:rFonts w:ascii="Times New Roman" w:hAnsi="Times New Roman" w:cs="Times New Roman"/>
          <w:sz w:val="24"/>
          <w:szCs w:val="24"/>
          <w:bdr w:val="none" w:sz="0" w:space="0" w:color="auto" w:frame="1"/>
        </w:rPr>
        <w:t>9</w:t>
      </w:r>
      <w:r w:rsidRPr="00F95182">
        <w:rPr>
          <w:rFonts w:ascii="Times New Roman" w:hAnsi="Times New Roman" w:cs="Times New Roman"/>
          <w:sz w:val="24"/>
          <w:szCs w:val="24"/>
          <w:bdr w:val="none" w:sz="0" w:space="0" w:color="auto" w:frame="1"/>
        </w:rPr>
        <w:t>%) of the query protein, ensuring the similarity of the ligand</w:t>
      </w:r>
      <w:r w:rsidR="00456D05"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binding site</w:t>
      </w:r>
      <w:r w:rsidR="00141897" w:rsidRPr="00F95182">
        <w:rPr>
          <w:rFonts w:ascii="Times New Roman" w:hAnsi="Times New Roman" w:cs="Times New Roman"/>
          <w:sz w:val="24"/>
          <w:szCs w:val="24"/>
          <w:bdr w:val="none" w:sz="0" w:space="0" w:color="auto" w:frame="1"/>
        </w:rPr>
        <w:t>s</w:t>
      </w:r>
      <w:r w:rsidRPr="00F95182">
        <w:rPr>
          <w:rFonts w:ascii="Times New Roman" w:hAnsi="Times New Roman" w:cs="Times New Roman"/>
          <w:sz w:val="24"/>
          <w:szCs w:val="24"/>
          <w:bdr w:val="none" w:sz="0" w:space="0" w:color="auto" w:frame="1"/>
        </w:rPr>
        <w:t xml:space="preserve"> between the two proteins. Excitingly, reports from various research groups</w:t>
      </w:r>
      <w:r w:rsidR="00456D05"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including ours</w:t>
      </w:r>
      <w:r w:rsidR="00456D05"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have discussed the potential of remdesivir in treating SARS-CoV-2 infection</w:t>
      </w:r>
      <w:r w:rsidRPr="00F95182">
        <w:rPr>
          <w:rFonts w:ascii="Times New Roman" w:hAnsi="Times New Roman" w:cs="Times New Roman"/>
          <w:sz w:val="24"/>
          <w:szCs w:val="24"/>
          <w:bdr w:val="none" w:sz="0" w:space="0" w:color="auto" w:frame="1"/>
        </w:rPr>
        <w:fldChar w:fldCharType="begin" w:fldLock="1"/>
      </w:r>
      <w:r w:rsidR="002A697C">
        <w:rPr>
          <w:rFonts w:ascii="Times New Roman" w:hAnsi="Times New Roman" w:cs="Times New Roman"/>
          <w:sz w:val="24"/>
          <w:szCs w:val="24"/>
          <w:bdr w:val="none" w:sz="0" w:space="0" w:color="auto" w:frame="1"/>
        </w:rPr>
        <w:instrText>ADDIN CSL_CITATION {"citationItems":[{"id":"ITEM-1","itemData":{"DOI":"10.1016/S0140-6736(20)31022-9","ISSN":"0140-6736","author":[{"dropping-particle":"","family":"Wang","given":"Yeming","non-dropping-particle":"","parse-names":false,"suffix":""},{"dropping-particle":"","family":"Zhang","given":"Dingyu","non-dropping-particle":"","parse-names":false,"suffix":""},{"dropping-particle":"","family":"Du","given":"Guanhua","non-dropping-particle":"","parse-names":false,"suffix":""},{"dropping-particle":"","family":"Du","given":"Ronghui","non-dropping-particle":"","parse-names":false,"suffix":""},{"dropping-particle":"","family":"Zhao","given":"Jianping","non-dropping-particle":"","parse-names":false,"suffix":""},{"dropping-particle":"","family":"Jin","given":"Yang","non-dropping-particle":"","parse-names":false,"suffix":""},{"dropping-particle":"","family":"Fu","given":"Shouzhi","non-dropping-particle":"","parse-names":false,"suffix":""},{"dropping-particle":"","family":"Gao","given":"Ling","non-dropping-particle":"","parse-names":false,"suffix":""},{"dropping-particle":"","family":"Cheng","given":"Zhenshun","non-dropping-particle":"","parse-names":false,"suffix":""},{"dropping-particle":"","family":"Lu","given":"Qiaofa","non-dropping-particle":"","parse-names":false,"suffix":""},{"dropping-particle":"","family":"Hu","given":"Yi","non-dropping-particle":"","parse-names":false,"suffix":""},{"dropping-particle":"","family":"Luo","given":"Guangwei","non-dropping-particle":"","parse-names":false,"suffix":""},{"dropping-particle":"","family":"Wang","given":"Ke","non-dropping-particle":"","parse-names":false,"suffix":""},{"dropping-particle":"","family":"Lu","given":"Yang","non-dropping-particle":"","parse-names":false,"suffix":""},{"dropping-particle":"","family":"Li","given":"Huadong","non-dropping-particle":"","parse-names":false,"suffix":""},{"dropping-particle":"","family":"Wang","given":"Shuzhen","non-dropping-particle":"","parse-names":false,"suffix":""},{"dropping-particle":"","family":"Ruan","given":"Shunan","non-dropping-particle":"","parse-names":false,"suffix":""},{"dropping-particle":"","family":"Yang","given":"Chengqing","non-dropping-particle":"","parse-names":false,"suffix":""},{"dropping-particle":"","family":"Mei","given":"Chunlin","non-dropping-particle":"","parse-names":false,"suffix":""},{"dropping-particle":"","family":"Wang","given":"Yi","non-dropping-particle":"","parse-names":false,"suffix":""},{"dropping-particle":"","family":"Ding","given":"Dan","non-dropping-particle":"","parse-names":false,"suffix":""},{"dropping-particle":"","family":"Wu","given":"Feng","non-dropping-particle":"","parse-names":false,"suffix":""},{"dropping-particle":"","family":"Tang","given":"Xin","non-dropping-particle":"","parse-names":false,"suffix":""},{"dropping-particle":"","family":"Ye","given":"Xianzhi","non-dropping-particle":"","parse-names":false,"suffix":""},{"dropping-particle":"","family":"Ye","given":"Yingchun","non-dropping-particle":"","parse-names":false,"suffix":""},{"dropping-particle":"","family":"Liu","given":"Bing","non-dropping-particle":"","parse-names":false,"suffix":""},{"dropping-particle":"","family":"Yang","given":"Jie","non-dropping-particle":"","parse-names":false,"suffix":""},{"dropping-particle":"","family":"Yin","given":"Wen","non-dropping-particle":"","parse-names":false,"suffix":""},{"dropping-particle":"","family":"Wang","given":"Aili","non-dropping-particle":"","parse-names":false,"suffix":""},{"dropping-particle":"","family":"Fan","given":"Guohui","non-dropping-particle":"","parse-names":false,"suffix":""},{"dropping-particle":"","family":"Zhou","given":"Fei","non-dropping-particle":"","parse-names":false,"suffix":""},{"dropping-particle":"","family":"Liu","given":"Zhibo","non-dropping-particle":"","parse-names":false,"suffix":""},{"dropping-particle":"","family":"Gu","given":"Xiaoying","non-dropping-particle":"","parse-names":false,"suffix":""},{"dropping-particle":"","family":"Xu","given":"Jiuyang","non-dropping-particle":"","parse-names":false,"suffix":""},{"dropping-particle":"","family":"Shang","given":"Lianhan","non-dropping-particle":"","parse-names":false,"suffix":""},{"dropping-particle":"","family":"Zhang","given":"Yi","non-dropping-particle":"","parse-names":false,"suffix":""},{"dropping-particle":"","family":"Cao","given":"Lianjun","non-dropping-particle":"","parse-names":false,"suffix":""},{"dropping-particle":"","family":"Guo","given":"Tingting","non-dropping-particle":"","parse-names":false,"suffix":""},{"dropping-particle":"","family":"Wan","given":"Yan","non-dropping-particle":"","parse-names":false,"suffix":""},{"dropping-particle":"","family":"Qin","given":"Hong","non-dropping-particle":"","parse-names":false,"suffix":""},{"dropping-particle":"","family":"Jiang","given":"Yushe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Cao","given":"Bin","non-dropping-particle":"","parse-names":false,"suffix":""},{"dropping-particle":"","family":"Wang","given":"Chen","non-dropping-particle":"","parse-names":false,"suffix":""}],"container-title":"The Lancet","id":"ITEM-1","issue":"10236","issued":{"date-parts":[["2020","5","16"]]},"note":"doi: 10.1016/S0140-6736(20)31022-9","page":"1569-1578","publisher":"Elsevier","title":"Remdesivir in adults with severe COVID-19: a randomised, double-blind, placebo-controlled, multicentre trial","type":"article-journal","volume":"395"},"uris":["http://www.mendeley.com/documents/?uuid=1c7813f6-3af2-4d5f-82df-fd729da6be65"]},{"id":"ITEM-2","itemData":{"DOI":"10.1039/D0MO00057D","abstract":"The ongoing global pandemic of COVID-19 has brought life to almost a standstill with the implementation of lockdowns and social distancing as some of the preventive measures in the absence of any approved specific therapeutic interventions. To combat this crisis{,} research communities worldwide are falling back on the existing repertoire of approved/investigational drugs to probe into their anti-coronavirus properties. In this report{,} we describe our unique efforts in identifying potential drugs that could be repurposed against the main protease of SARS-CoV-2 (SARS-CoV-2 Mpro). To achieve this goal{,} we have primarily exploited the principles of ‘neighbourhood behaviour’ in the protein 3D (workflow-I) and chemical 2D structural space (workflow-II) coupled with docking simulations and insights into the possible modes of action of the selected candidates from the available literature. This integrative approach culminated in prioritizing 29 potential repurpose-able agents (20 approved drugs and 9 investigational molecules) against SARS-CoV-2 Mpro. Apart from the approved/investigational anti-viral drugs{,} other notable hits include anti-bacterial{,} anti-inflammatory{,} anti-cancer and anti-coagulant drugs. Our analysis suggests that some of these drugs have the potential to simultaneously modulate the functions of viral proteins and the host response system. Interestingly{,} many of these identified candidates (12 molecules from workflow-I and several molecules{,} belonging to the chemical classes of alkaloids{,} tetracyclines{,} peptidomimetics{,} from workflow-II) are suggested to possess anti-viral properties{,} which is supported by laboratory and clinical data. Furthermore{,} this work opens a new avenue of research to probe into the molecular mechanism of action of many drugs{,} which are known to demonstrate anti-viral activity but are so far not known to target viral proteases.","author":[{"dropping-particle":"","family":"Chakraborti","given":"Sohini","non-dropping-particle":"","parse-names":false,"suffix":""},{"dropping-particle":"","family":"Bheemireddy","given":"Sneha","non-dropping-particle":"","parse-names":false,"suffix":""},{"dropping-particle":"","family":"Srinivasan","given":"Narayanaswamy","non-dropping-particle":"","parse-names":false,"suffix":""}],"container-title":"Mol. Omics","id":"ITEM-2","issued":{"date-parts":[["2020"]]},"page":"-","publisher":"The Royal Society of Chemistry","title":"Repurposing drugs against the main protease of SARS-CoV-2: mechanism-based insights supported by available laboratory and clinical data","type":"article-journal"},"uris":["http://www.mendeley.com/documents/?uuid=7bb58f05-2be7-44de-b008-e00e7debe95e"]}],"mendeley":{"formattedCitation":"&lt;sup&gt;2,4&lt;/sup&gt;","plainTextFormattedCitation":"2,4","previouslyFormattedCitation":"(Wang &lt;i&gt;et al.&lt;/i&gt;, 2020; Chakraborti &lt;i&gt;et al.&lt;/i&gt;, 2020)"},"properties":{"noteIndex":0},"schema":"https://github.com/citation-style-language/schema/raw/master/csl-citation.json"}</w:instrText>
      </w:r>
      <w:r w:rsidRPr="00F95182">
        <w:rPr>
          <w:rFonts w:ascii="Times New Roman" w:hAnsi="Times New Roman" w:cs="Times New Roman"/>
          <w:sz w:val="24"/>
          <w:szCs w:val="24"/>
          <w:bdr w:val="none" w:sz="0" w:space="0" w:color="auto" w:frame="1"/>
        </w:rPr>
        <w:fldChar w:fldCharType="separate"/>
      </w:r>
      <w:r w:rsidR="002A697C" w:rsidRPr="002A697C">
        <w:rPr>
          <w:rFonts w:ascii="Times New Roman" w:hAnsi="Times New Roman" w:cs="Times New Roman"/>
          <w:noProof/>
          <w:sz w:val="24"/>
          <w:szCs w:val="24"/>
          <w:bdr w:val="none" w:sz="0" w:space="0" w:color="auto" w:frame="1"/>
          <w:vertAlign w:val="superscript"/>
        </w:rPr>
        <w:t>2,4</w:t>
      </w:r>
      <w:r w:rsidRPr="00F95182">
        <w:rPr>
          <w:rFonts w:ascii="Times New Roman" w:hAnsi="Times New Roman" w:cs="Times New Roman"/>
          <w:sz w:val="24"/>
          <w:szCs w:val="24"/>
          <w:bdr w:val="none" w:sz="0" w:space="0" w:color="auto" w:frame="1"/>
        </w:rPr>
        <w:fldChar w:fldCharType="end"/>
      </w:r>
      <w:r w:rsidR="00456D05"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and </w:t>
      </w:r>
      <w:r w:rsidR="009F3B8F" w:rsidRPr="00F95182">
        <w:rPr>
          <w:rFonts w:ascii="Times New Roman" w:hAnsi="Times New Roman" w:cs="Times New Roman"/>
          <w:sz w:val="24"/>
          <w:szCs w:val="24"/>
          <w:bdr w:val="none" w:sz="0" w:space="0" w:color="auto" w:frame="1"/>
        </w:rPr>
        <w:t>it</w:t>
      </w:r>
      <w:r w:rsidRPr="00F95182">
        <w:rPr>
          <w:rFonts w:ascii="Times New Roman" w:hAnsi="Times New Roman" w:cs="Times New Roman"/>
          <w:sz w:val="24"/>
          <w:szCs w:val="24"/>
          <w:bdr w:val="none" w:sz="0" w:space="0" w:color="auto" w:frame="1"/>
        </w:rPr>
        <w:t xml:space="preserve"> is currently</w:t>
      </w:r>
      <w:r w:rsidR="009F3B8F" w:rsidRPr="00F95182">
        <w:rPr>
          <w:rFonts w:ascii="Times New Roman" w:hAnsi="Times New Roman" w:cs="Times New Roman"/>
          <w:sz w:val="24"/>
          <w:szCs w:val="24"/>
          <w:bdr w:val="none" w:sz="0" w:space="0" w:color="auto" w:frame="1"/>
        </w:rPr>
        <w:t xml:space="preserve"> being</w:t>
      </w:r>
      <w:r w:rsidRPr="00F95182">
        <w:rPr>
          <w:rFonts w:ascii="Times New Roman" w:hAnsi="Times New Roman" w:cs="Times New Roman"/>
          <w:sz w:val="24"/>
          <w:szCs w:val="24"/>
          <w:bdr w:val="none" w:sz="0" w:space="0" w:color="auto" w:frame="1"/>
        </w:rPr>
        <w:t xml:space="preserve"> probed under </w:t>
      </w:r>
      <w:r w:rsidR="009F3B8F" w:rsidRPr="00F95182">
        <w:rPr>
          <w:rFonts w:ascii="Times New Roman" w:hAnsi="Times New Roman" w:cs="Times New Roman"/>
          <w:sz w:val="24"/>
          <w:szCs w:val="24"/>
          <w:bdr w:val="none" w:sz="0" w:space="0" w:color="auto" w:frame="1"/>
        </w:rPr>
        <w:t xml:space="preserve">various </w:t>
      </w:r>
      <w:r w:rsidRPr="00F95182">
        <w:rPr>
          <w:rFonts w:ascii="Times New Roman" w:hAnsi="Times New Roman" w:cs="Times New Roman"/>
          <w:sz w:val="24"/>
          <w:szCs w:val="24"/>
          <w:bdr w:val="none" w:sz="0" w:space="0" w:color="auto" w:frame="1"/>
        </w:rPr>
        <w:t xml:space="preserve">clinical trials to </w:t>
      </w:r>
      <w:r w:rsidR="00B21A6F" w:rsidRPr="00F95182">
        <w:rPr>
          <w:rFonts w:ascii="Times New Roman" w:hAnsi="Times New Roman" w:cs="Times New Roman"/>
          <w:sz w:val="24"/>
          <w:szCs w:val="24"/>
          <w:bdr w:val="none" w:sz="0" w:space="0" w:color="auto" w:frame="1"/>
        </w:rPr>
        <w:t>explore</w:t>
      </w:r>
      <w:r w:rsidRPr="00F95182">
        <w:rPr>
          <w:rFonts w:ascii="Times New Roman" w:hAnsi="Times New Roman" w:cs="Times New Roman"/>
          <w:sz w:val="24"/>
          <w:szCs w:val="24"/>
          <w:bdr w:val="none" w:sz="0" w:space="0" w:color="auto" w:frame="1"/>
        </w:rPr>
        <w:t xml:space="preserve"> </w:t>
      </w:r>
      <w:r w:rsidR="00F14085" w:rsidRPr="00F95182">
        <w:rPr>
          <w:rFonts w:ascii="Times New Roman" w:hAnsi="Times New Roman" w:cs="Times New Roman"/>
          <w:sz w:val="24"/>
          <w:szCs w:val="24"/>
          <w:bdr w:val="none" w:sz="0" w:space="0" w:color="auto" w:frame="1"/>
        </w:rPr>
        <w:t>it</w:t>
      </w:r>
      <w:r w:rsidR="00964B7A" w:rsidRPr="00F95182">
        <w:rPr>
          <w:rFonts w:ascii="Times New Roman" w:hAnsi="Times New Roman" w:cs="Times New Roman"/>
          <w:sz w:val="24"/>
          <w:szCs w:val="24"/>
          <w:bdr w:val="none" w:sz="0" w:space="0" w:color="auto" w:frame="1"/>
        </w:rPr>
        <w:t>'s usage in</w:t>
      </w:r>
      <w:r w:rsidR="00F14085" w:rsidRPr="00F95182">
        <w:rPr>
          <w:rFonts w:ascii="Times New Roman" w:hAnsi="Times New Roman" w:cs="Times New Roman"/>
          <w:sz w:val="24"/>
          <w:szCs w:val="24"/>
          <w:bdr w:val="none" w:sz="0" w:space="0" w:color="auto" w:frame="1"/>
        </w:rPr>
        <w:t xml:space="preserve"> </w:t>
      </w:r>
      <w:r w:rsidRPr="00F95182">
        <w:rPr>
          <w:rFonts w:ascii="Times New Roman" w:hAnsi="Times New Roman" w:cs="Times New Roman"/>
          <w:sz w:val="24"/>
          <w:szCs w:val="24"/>
          <w:bdr w:val="none" w:sz="0" w:space="0" w:color="auto" w:frame="1"/>
        </w:rPr>
        <w:t>anti-Covid19</w:t>
      </w:r>
      <w:r w:rsidR="00382C07">
        <w:rPr>
          <w:rFonts w:ascii="Times New Roman" w:hAnsi="Times New Roman" w:cs="Times New Roman"/>
          <w:sz w:val="24"/>
          <w:szCs w:val="24"/>
          <w:bdr w:val="none" w:sz="0" w:space="0" w:color="auto" w:frame="1"/>
        </w:rPr>
        <w:t xml:space="preserve"> therapy </w:t>
      </w:r>
      <w:r w:rsidR="00A478F6">
        <w:rPr>
          <w:rFonts w:ascii="Times New Roman" w:hAnsi="Times New Roman" w:cs="Times New Roman"/>
          <w:sz w:val="24"/>
          <w:szCs w:val="24"/>
          <w:bdr w:val="none" w:sz="0" w:space="0" w:color="auto" w:frame="1"/>
        </w:rPr>
        <w:t xml:space="preserve">and has also been approved for emergency usage in many countries. The details on clinical trials of remdesivir could be found at  </w:t>
      </w:r>
      <w:hyperlink r:id="rId9" w:anchor="&amp;city=&amp;dist=" w:history="1">
        <w:r w:rsidR="00382C07" w:rsidRPr="00C66282">
          <w:rPr>
            <w:rStyle w:val="Hyperlink"/>
            <w:rFonts w:ascii="Times New Roman" w:hAnsi="Times New Roman" w:cs="Times New Roman"/>
            <w:sz w:val="24"/>
            <w:szCs w:val="24"/>
            <w:bdr w:val="none" w:sz="0" w:space="0" w:color="auto" w:frame="1"/>
          </w:rPr>
          <w:t>https://www.clinicaltrials.gov/ct2/results?recrs=&amp;cond=&amp;term=remdesivir&amp;cntry=&amp;state=</w:t>
        </w:r>
        <w:r w:rsidR="00382C07" w:rsidRPr="00C66282">
          <w:rPr>
            <w:rStyle w:val="Hyperlink"/>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8E814AB" wp14:editId="6131F870">
                  <wp:simplePos x="0" y="0"/>
                  <wp:positionH relativeFrom="margin">
                    <wp:align>center</wp:align>
                  </wp:positionH>
                  <wp:positionV relativeFrom="paragraph">
                    <wp:posOffset>4988218</wp:posOffset>
                  </wp:positionV>
                  <wp:extent cx="6209665" cy="3872230"/>
                  <wp:effectExtent l="0" t="0" r="635" b="0"/>
                  <wp:wrapTopAndBottom/>
                  <wp:docPr id="7" name="Text Box 7"/>
                  <wp:cNvGraphicFramePr/>
                  <a:graphic xmlns:a="http://schemas.openxmlformats.org/drawingml/2006/main">
                    <a:graphicData uri="http://schemas.microsoft.com/office/word/2010/wordprocessingShape">
                      <wps:wsp>
                        <wps:cNvSpPr txBox="1"/>
                        <wps:spPr>
                          <a:xfrm>
                            <a:off x="0" y="0"/>
                            <a:ext cx="6209665" cy="3872230"/>
                          </a:xfrm>
                          <a:prstGeom prst="rect">
                            <a:avLst/>
                          </a:prstGeom>
                          <a:solidFill>
                            <a:prstClr val="white"/>
                          </a:solidFill>
                          <a:ln>
                            <a:noFill/>
                          </a:ln>
                        </wps:spPr>
                        <wps:txbx>
                          <w:txbxContent>
                            <w:p w14:paraId="2CD47393" w14:textId="77777777" w:rsidR="00382C07" w:rsidRPr="00E06BDA" w:rsidRDefault="00382C07" w:rsidP="00382C07">
                              <w:pPr>
                                <w:pStyle w:val="Caption"/>
                                <w:jc w:val="both"/>
                                <w:rPr>
                                  <w:rFonts w:ascii="Times New Roman" w:hAnsi="Times New Roman" w:cs="Times New Roman"/>
                                  <w:color w:val="auto"/>
                                  <w:sz w:val="24"/>
                                  <w:szCs w:val="24"/>
                                  <w:bdr w:val="none" w:sz="0" w:space="0" w:color="auto" w:frame="1"/>
                                </w:rPr>
                              </w:pPr>
                              <w:r w:rsidRPr="00E06BDA">
                                <w:rPr>
                                  <w:rFonts w:ascii="Times New Roman" w:hAnsi="Times New Roman" w:cs="Times New Roman"/>
                                  <w:b/>
                                  <w:bCs/>
                                  <w:color w:val="auto"/>
                                  <w:sz w:val="24"/>
                                  <w:szCs w:val="24"/>
                                  <w:bdr w:val="none" w:sz="0" w:space="0" w:color="auto" w:frame="1"/>
                                </w:rPr>
                                <w:t>Fig. S</w:t>
                              </w:r>
                              <w:r>
                                <w:rPr>
                                  <w:rFonts w:ascii="Times New Roman" w:hAnsi="Times New Roman" w:cs="Times New Roman"/>
                                  <w:b/>
                                  <w:bCs/>
                                  <w:color w:val="auto"/>
                                  <w:sz w:val="24"/>
                                  <w:szCs w:val="24"/>
                                  <w:bdr w:val="none" w:sz="0" w:space="0" w:color="auto" w:frame="1"/>
                                </w:rPr>
                                <w:t>1</w:t>
                              </w:r>
                              <w:r w:rsidRPr="00E06BDA">
                                <w:rPr>
                                  <w:rFonts w:ascii="Times New Roman" w:hAnsi="Times New Roman" w:cs="Times New Roman"/>
                                  <w:b/>
                                  <w:bCs/>
                                  <w:color w:val="auto"/>
                                  <w:sz w:val="24"/>
                                  <w:szCs w:val="24"/>
                                  <w:bdr w:val="none" w:sz="0" w:space="0" w:color="auto" w:frame="1"/>
                                </w:rPr>
                                <w:t xml:space="preserve">: A step-by-step flow of events under MODE-1 operation of NOD depicted with screen shots from the example case study on SARS-CoV-2 proteins. </w:t>
                              </w:r>
                              <w:r w:rsidRPr="00E06BDA">
                                <w:rPr>
                                  <w:rFonts w:ascii="Times New Roman" w:hAnsi="Times New Roman" w:cs="Times New Roman"/>
                                  <w:color w:val="auto"/>
                                  <w:sz w:val="24"/>
                                  <w:szCs w:val="24"/>
                                  <w:bdr w:val="none" w:sz="0" w:space="0" w:color="auto" w:frame="1"/>
                                </w:rPr>
                                <w:t xml:space="preserve">(1) Jobs can be submitted to NOD by hitting the ‘SUBMIT’ button (indicated by a black arrow) after filling up the details in the desired mode available under ‘Run-Options’ </w:t>
                              </w:r>
                              <w:r>
                                <w:rPr>
                                  <w:rFonts w:ascii="Times New Roman" w:hAnsi="Times New Roman" w:cs="Times New Roman"/>
                                  <w:color w:val="auto"/>
                                  <w:sz w:val="24"/>
                                  <w:szCs w:val="24"/>
                                  <w:bdr w:val="none" w:sz="0" w:space="0" w:color="auto" w:frame="1"/>
                                </w:rPr>
                                <w:t>page</w:t>
                              </w:r>
                              <w:r w:rsidRPr="00E06BDA">
                                <w:rPr>
                                  <w:rFonts w:ascii="Times New Roman" w:hAnsi="Times New Roman" w:cs="Times New Roman"/>
                                  <w:color w:val="auto"/>
                                  <w:sz w:val="24"/>
                                  <w:szCs w:val="24"/>
                                  <w:bdr w:val="none" w:sz="0" w:space="0" w:color="auto" w:frame="1"/>
                                </w:rPr>
                                <w:t>. The details required are: (</w:t>
                              </w:r>
                              <w:r>
                                <w:rPr>
                                  <w:rFonts w:ascii="Times New Roman" w:hAnsi="Times New Roman" w:cs="Times New Roman"/>
                                  <w:color w:val="auto"/>
                                  <w:sz w:val="24"/>
                                  <w:szCs w:val="24"/>
                                  <w:bdr w:val="none" w:sz="0" w:space="0" w:color="auto" w:frame="1"/>
                                </w:rPr>
                                <w:t>a</w:t>
                              </w:r>
                              <w:r w:rsidRPr="00E06BDA">
                                <w:rPr>
                                  <w:rFonts w:ascii="Times New Roman" w:hAnsi="Times New Roman" w:cs="Times New Roman"/>
                                  <w:color w:val="auto"/>
                                  <w:sz w:val="24"/>
                                  <w:szCs w:val="24"/>
                                  <w:bdr w:val="none" w:sz="0" w:space="0" w:color="auto" w:frame="1"/>
                                </w:rPr>
                                <w:t>) Job Title, (</w:t>
                              </w:r>
                              <w:r>
                                <w:rPr>
                                  <w:rFonts w:ascii="Times New Roman" w:hAnsi="Times New Roman" w:cs="Times New Roman"/>
                                  <w:color w:val="auto"/>
                                  <w:sz w:val="24"/>
                                  <w:szCs w:val="24"/>
                                  <w:bdr w:val="none" w:sz="0" w:space="0" w:color="auto" w:frame="1"/>
                                </w:rPr>
                                <w:t>b</w:t>
                              </w:r>
                              <w:r w:rsidRPr="00E06BDA">
                                <w:rPr>
                                  <w:rFonts w:ascii="Times New Roman" w:hAnsi="Times New Roman" w:cs="Times New Roman"/>
                                  <w:color w:val="auto"/>
                                  <w:sz w:val="24"/>
                                  <w:szCs w:val="24"/>
                                  <w:bdr w:val="none" w:sz="0" w:space="0" w:color="auto" w:frame="1"/>
                                </w:rPr>
                                <w:t xml:space="preserve">) E-mail address (where the link to the downloadable result table obtained as output from NOD </w:t>
                              </w:r>
                              <w:r>
                                <w:rPr>
                                  <w:rFonts w:ascii="Times New Roman" w:hAnsi="Times New Roman" w:cs="Times New Roman"/>
                                  <w:color w:val="auto"/>
                                  <w:sz w:val="24"/>
                                  <w:szCs w:val="24"/>
                                  <w:bdr w:val="none" w:sz="0" w:space="0" w:color="auto" w:frame="1"/>
                                </w:rPr>
                                <w:t>will</w:t>
                              </w:r>
                              <w:r w:rsidRPr="00E06BDA">
                                <w:rPr>
                                  <w:rFonts w:ascii="Times New Roman" w:hAnsi="Times New Roman" w:cs="Times New Roman"/>
                                  <w:color w:val="auto"/>
                                  <w:sz w:val="24"/>
                                  <w:szCs w:val="24"/>
                                  <w:bdr w:val="none" w:sz="0" w:space="0" w:color="auto" w:frame="1"/>
                                </w:rPr>
                                <w:t xml:space="preserve"> be sent), (</w:t>
                              </w:r>
                              <w:r>
                                <w:rPr>
                                  <w:rFonts w:ascii="Times New Roman" w:hAnsi="Times New Roman" w:cs="Times New Roman"/>
                                  <w:color w:val="auto"/>
                                  <w:sz w:val="24"/>
                                  <w:szCs w:val="24"/>
                                  <w:bdr w:val="none" w:sz="0" w:space="0" w:color="auto" w:frame="1"/>
                                </w:rPr>
                                <w:t>c</w:t>
                              </w:r>
                              <w:r w:rsidRPr="00E06BDA">
                                <w:rPr>
                                  <w:rFonts w:ascii="Times New Roman" w:hAnsi="Times New Roman" w:cs="Times New Roman"/>
                                  <w:color w:val="auto"/>
                                  <w:sz w:val="24"/>
                                  <w:szCs w:val="24"/>
                                  <w:bdr w:val="none" w:sz="0" w:space="0" w:color="auto" w:frame="1"/>
                                </w:rPr>
                                <w:t>) A file containing the protein sequences in ‘.FASTA’ format needs to be uploaded, (</w:t>
                              </w:r>
                              <w:r>
                                <w:rPr>
                                  <w:rFonts w:ascii="Times New Roman" w:hAnsi="Times New Roman" w:cs="Times New Roman"/>
                                  <w:color w:val="auto"/>
                                  <w:sz w:val="24"/>
                                  <w:szCs w:val="24"/>
                                  <w:bdr w:val="none" w:sz="0" w:space="0" w:color="auto" w:frame="1"/>
                                </w:rPr>
                                <w:t>d</w:t>
                              </w:r>
                              <w:r w:rsidRPr="00E06BDA">
                                <w:rPr>
                                  <w:rFonts w:ascii="Times New Roman" w:hAnsi="Times New Roman" w:cs="Times New Roman"/>
                                  <w:color w:val="auto"/>
                                  <w:sz w:val="24"/>
                                  <w:szCs w:val="24"/>
                                  <w:bdr w:val="none" w:sz="0" w:space="0" w:color="auto" w:frame="1"/>
                                </w:rPr>
                                <w:t>) Adjusting the Query coverage cut-off (if required), and (</w:t>
                              </w:r>
                              <w:r>
                                <w:rPr>
                                  <w:rFonts w:ascii="Times New Roman" w:hAnsi="Times New Roman" w:cs="Times New Roman"/>
                                  <w:color w:val="auto"/>
                                  <w:sz w:val="24"/>
                                  <w:szCs w:val="24"/>
                                  <w:bdr w:val="none" w:sz="0" w:space="0" w:color="auto" w:frame="1"/>
                                </w:rPr>
                                <w:t>e</w:t>
                              </w:r>
                              <w:r w:rsidRPr="00E06BDA">
                                <w:rPr>
                                  <w:rFonts w:ascii="Times New Roman" w:hAnsi="Times New Roman" w:cs="Times New Roman"/>
                                  <w:color w:val="auto"/>
                                  <w:sz w:val="24"/>
                                  <w:szCs w:val="24"/>
                                  <w:bdr w:val="none" w:sz="0" w:space="0" w:color="auto" w:frame="1"/>
                                </w:rPr>
                                <w:t>) Declaration that the submitted sequences conform to ‘.FASTA’ format (which is the NOD-friendly format). (2) Upon successful job submission, a window opens which informs the user that the responses from NOD will be notified to the provided e-mail address. New jobs can be submitted by clicking on the ‘START OVER’ button (indicated in black arrow) which would take the user to the ‘Run-Options’ page. (3) Once the job is completed, an automated e-mail is sent by the NOD server to the user supplied e-mail ID with a link (indicated with black arrow) to view the responses from NOD. (4) On clicking the link, a HTML file with tabulated data is displayed on the NOD interface. Description on the type of data compiled in each column is provided at the top of the table (highlighted with a red box). The table can be downloaded as a tab</w:t>
                              </w:r>
                              <w:r>
                                <w:rPr>
                                  <w:rFonts w:ascii="Times New Roman" w:hAnsi="Times New Roman" w:cs="Times New Roman"/>
                                  <w:color w:val="auto"/>
                                  <w:sz w:val="24"/>
                                  <w:szCs w:val="24"/>
                                  <w:bdr w:val="none" w:sz="0" w:space="0" w:color="auto" w:frame="1"/>
                                </w:rPr>
                                <w:t>-</w:t>
                              </w:r>
                              <w:r w:rsidRPr="00E06BDA">
                                <w:rPr>
                                  <w:rFonts w:ascii="Times New Roman" w:hAnsi="Times New Roman" w:cs="Times New Roman"/>
                                  <w:color w:val="auto"/>
                                  <w:sz w:val="24"/>
                                  <w:szCs w:val="24"/>
                                  <w:bdr w:val="none" w:sz="0" w:space="0" w:color="auto" w:frame="1"/>
                                </w:rPr>
                                <w:t xml:space="preserve">separated file by clicking on the ‘Download Table’ button (indicated with a black arrow). </w:t>
                              </w:r>
                              <w:r>
                                <w:rPr>
                                  <w:rFonts w:ascii="Times New Roman" w:hAnsi="Times New Roman" w:cs="Times New Roman"/>
                                  <w:color w:val="auto"/>
                                  <w:sz w:val="24"/>
                                  <w:szCs w:val="24"/>
                                  <w:bdr w:val="none" w:sz="0" w:space="0" w:color="auto" w:frame="1"/>
                                </w:rPr>
                                <w:t xml:space="preserve">The download-able table contains additional information derived from the DrugBank database (for example, name of the target protein, SMILES code of the shortlisted compounds, etc.). </w:t>
                              </w:r>
                              <w:r w:rsidRPr="0010511A">
                                <w:rPr>
                                  <w:rFonts w:ascii="Times New Roman" w:hAnsi="Times New Roman" w:cs="Times New Roman"/>
                                  <w:color w:val="auto"/>
                                  <w:sz w:val="24"/>
                                  <w:szCs w:val="24"/>
                                  <w:bdr w:val="none" w:sz="0" w:space="0" w:color="auto" w:frame="1"/>
                                </w:rPr>
                                <w:t xml:space="preserve">The result tables are automatically deleted from the NOD server after 10 days. (5) A snapshot of the results from the output table has been shown here. </w:t>
                              </w:r>
                              <w:r w:rsidRPr="00E06BDA">
                                <w:rPr>
                                  <w:rFonts w:ascii="Times New Roman" w:hAnsi="Times New Roman" w:cs="Times New Roman"/>
                                  <w:color w:val="auto"/>
                                  <w:sz w:val="24"/>
                                  <w:szCs w:val="24"/>
                                  <w:bdr w:val="none" w:sz="0" w:space="0" w:color="auto" w:frame="1"/>
                                </w:rPr>
                                <w:t xml:space="preserve">The UniProt accession code of the target homologue protein and the DrugBank ID of the candidate molecule are provided as clickable links (highlighted with red box) which can direct the user to the respective databases for more details.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E814AB" id="_x0000_t202" coordsize="21600,21600" o:spt="202" path="m,l,21600r21600,l21600,xe">
                  <v:stroke joinstyle="miter"/>
                  <v:path gradientshapeok="t" o:connecttype="rect"/>
                </v:shapetype>
                <v:shape id="Text Box 7" o:spid="_x0000_s1027" type="#_x0000_t202" style="position:absolute;left:0;text-align:left;margin-left:0;margin-top:392.75pt;width:488.95pt;height:304.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" stroked="f">
                  <v:textbox inset="0,0,0,0">
                    <w:txbxContent>
                      <w:p w14:paraId="2CD47393" w14:textId="77777777" w:rsidR="00382C07" w:rsidRPr="00E06BDA" w:rsidRDefault="00382C07" w:rsidP="00382C07">
                        <w:pPr>
                          <w:pStyle w:val="Caption"/>
                          <w:jc w:val="both"/>
                          <w:rPr>
                            <w:rFonts w:ascii="Times New Roman" w:hAnsi="Times New Roman" w:cs="Times New Roman"/>
                            <w:color w:val="auto"/>
                            <w:sz w:val="24"/>
                            <w:szCs w:val="24"/>
                            <w:bdr w:val="none" w:sz="0" w:space="0" w:color="auto" w:frame="1"/>
                          </w:rPr>
                        </w:pPr>
                        <w:r w:rsidRPr="00E06BDA">
                          <w:rPr>
                            <w:rFonts w:ascii="Times New Roman" w:hAnsi="Times New Roman" w:cs="Times New Roman"/>
                            <w:b/>
                            <w:bCs/>
                            <w:color w:val="auto"/>
                            <w:sz w:val="24"/>
                            <w:szCs w:val="24"/>
                            <w:bdr w:val="none" w:sz="0" w:space="0" w:color="auto" w:frame="1"/>
                          </w:rPr>
                          <w:t>Fig. S</w:t>
                        </w:r>
                        <w:r>
                          <w:rPr>
                            <w:rFonts w:ascii="Times New Roman" w:hAnsi="Times New Roman" w:cs="Times New Roman"/>
                            <w:b/>
                            <w:bCs/>
                            <w:color w:val="auto"/>
                            <w:sz w:val="24"/>
                            <w:szCs w:val="24"/>
                            <w:bdr w:val="none" w:sz="0" w:space="0" w:color="auto" w:frame="1"/>
                          </w:rPr>
                          <w:t>1</w:t>
                        </w:r>
                        <w:r w:rsidRPr="00E06BDA">
                          <w:rPr>
                            <w:rFonts w:ascii="Times New Roman" w:hAnsi="Times New Roman" w:cs="Times New Roman"/>
                            <w:b/>
                            <w:bCs/>
                            <w:color w:val="auto"/>
                            <w:sz w:val="24"/>
                            <w:szCs w:val="24"/>
                            <w:bdr w:val="none" w:sz="0" w:space="0" w:color="auto" w:frame="1"/>
                          </w:rPr>
                          <w:t xml:space="preserve">: A step-by-step flow of events under MODE-1 operation of NOD depicted with screen shots from the example case study on SARS-CoV-2 proteins. </w:t>
                        </w:r>
                        <w:r w:rsidRPr="00E06BDA">
                          <w:rPr>
                            <w:rFonts w:ascii="Times New Roman" w:hAnsi="Times New Roman" w:cs="Times New Roman"/>
                            <w:color w:val="auto"/>
                            <w:sz w:val="24"/>
                            <w:szCs w:val="24"/>
                            <w:bdr w:val="none" w:sz="0" w:space="0" w:color="auto" w:frame="1"/>
                          </w:rPr>
                          <w:t xml:space="preserve">(1) Jobs can be submitted to NOD by hitting the ‘SUBMIT’ button (indicated by a black arrow) after filling up the details in the desired mode available under ‘Run-Options’ </w:t>
                        </w:r>
                        <w:r>
                          <w:rPr>
                            <w:rFonts w:ascii="Times New Roman" w:hAnsi="Times New Roman" w:cs="Times New Roman"/>
                            <w:color w:val="auto"/>
                            <w:sz w:val="24"/>
                            <w:szCs w:val="24"/>
                            <w:bdr w:val="none" w:sz="0" w:space="0" w:color="auto" w:frame="1"/>
                          </w:rPr>
                          <w:t>page</w:t>
                        </w:r>
                        <w:r w:rsidRPr="00E06BDA">
                          <w:rPr>
                            <w:rFonts w:ascii="Times New Roman" w:hAnsi="Times New Roman" w:cs="Times New Roman"/>
                            <w:color w:val="auto"/>
                            <w:sz w:val="24"/>
                            <w:szCs w:val="24"/>
                            <w:bdr w:val="none" w:sz="0" w:space="0" w:color="auto" w:frame="1"/>
                          </w:rPr>
                          <w:t>. The details required are: (</w:t>
                        </w:r>
                        <w:r>
                          <w:rPr>
                            <w:rFonts w:ascii="Times New Roman" w:hAnsi="Times New Roman" w:cs="Times New Roman"/>
                            <w:color w:val="auto"/>
                            <w:sz w:val="24"/>
                            <w:szCs w:val="24"/>
                            <w:bdr w:val="none" w:sz="0" w:space="0" w:color="auto" w:frame="1"/>
                          </w:rPr>
                          <w:t>a</w:t>
                        </w:r>
                        <w:r w:rsidRPr="00E06BDA">
                          <w:rPr>
                            <w:rFonts w:ascii="Times New Roman" w:hAnsi="Times New Roman" w:cs="Times New Roman"/>
                            <w:color w:val="auto"/>
                            <w:sz w:val="24"/>
                            <w:szCs w:val="24"/>
                            <w:bdr w:val="none" w:sz="0" w:space="0" w:color="auto" w:frame="1"/>
                          </w:rPr>
                          <w:t>) Job Title, (</w:t>
                        </w:r>
                        <w:r>
                          <w:rPr>
                            <w:rFonts w:ascii="Times New Roman" w:hAnsi="Times New Roman" w:cs="Times New Roman"/>
                            <w:color w:val="auto"/>
                            <w:sz w:val="24"/>
                            <w:szCs w:val="24"/>
                            <w:bdr w:val="none" w:sz="0" w:space="0" w:color="auto" w:frame="1"/>
                          </w:rPr>
                          <w:t>b</w:t>
                        </w:r>
                        <w:r w:rsidRPr="00E06BDA">
                          <w:rPr>
                            <w:rFonts w:ascii="Times New Roman" w:hAnsi="Times New Roman" w:cs="Times New Roman"/>
                            <w:color w:val="auto"/>
                            <w:sz w:val="24"/>
                            <w:szCs w:val="24"/>
                            <w:bdr w:val="none" w:sz="0" w:space="0" w:color="auto" w:frame="1"/>
                          </w:rPr>
                          <w:t xml:space="preserve">) E-mail address (where the link to the downloadable result table obtained as output from NOD </w:t>
                        </w:r>
                        <w:r>
                          <w:rPr>
                            <w:rFonts w:ascii="Times New Roman" w:hAnsi="Times New Roman" w:cs="Times New Roman"/>
                            <w:color w:val="auto"/>
                            <w:sz w:val="24"/>
                            <w:szCs w:val="24"/>
                            <w:bdr w:val="none" w:sz="0" w:space="0" w:color="auto" w:frame="1"/>
                          </w:rPr>
                          <w:t>will</w:t>
                        </w:r>
                        <w:r w:rsidRPr="00E06BDA">
                          <w:rPr>
                            <w:rFonts w:ascii="Times New Roman" w:hAnsi="Times New Roman" w:cs="Times New Roman"/>
                            <w:color w:val="auto"/>
                            <w:sz w:val="24"/>
                            <w:szCs w:val="24"/>
                            <w:bdr w:val="none" w:sz="0" w:space="0" w:color="auto" w:frame="1"/>
                          </w:rPr>
                          <w:t xml:space="preserve"> be sent), (</w:t>
                        </w:r>
                        <w:r>
                          <w:rPr>
                            <w:rFonts w:ascii="Times New Roman" w:hAnsi="Times New Roman" w:cs="Times New Roman"/>
                            <w:color w:val="auto"/>
                            <w:sz w:val="24"/>
                            <w:szCs w:val="24"/>
                            <w:bdr w:val="none" w:sz="0" w:space="0" w:color="auto" w:frame="1"/>
                          </w:rPr>
                          <w:t>c</w:t>
                        </w:r>
                        <w:r w:rsidRPr="00E06BDA">
                          <w:rPr>
                            <w:rFonts w:ascii="Times New Roman" w:hAnsi="Times New Roman" w:cs="Times New Roman"/>
                            <w:color w:val="auto"/>
                            <w:sz w:val="24"/>
                            <w:szCs w:val="24"/>
                            <w:bdr w:val="none" w:sz="0" w:space="0" w:color="auto" w:frame="1"/>
                          </w:rPr>
                          <w:t xml:space="preserve">) A file containing the protein sequences in </w:t>
                        </w:r>
                        <w:proofErr w:type="gramStart"/>
                        <w:r w:rsidRPr="00E06BDA">
                          <w:rPr>
                            <w:rFonts w:ascii="Times New Roman" w:hAnsi="Times New Roman" w:cs="Times New Roman"/>
                            <w:color w:val="auto"/>
                            <w:sz w:val="24"/>
                            <w:szCs w:val="24"/>
                            <w:bdr w:val="none" w:sz="0" w:space="0" w:color="auto" w:frame="1"/>
                          </w:rPr>
                          <w:t>‘.FASTA</w:t>
                        </w:r>
                        <w:proofErr w:type="gramEnd"/>
                        <w:r w:rsidRPr="00E06BDA">
                          <w:rPr>
                            <w:rFonts w:ascii="Times New Roman" w:hAnsi="Times New Roman" w:cs="Times New Roman"/>
                            <w:color w:val="auto"/>
                            <w:sz w:val="24"/>
                            <w:szCs w:val="24"/>
                            <w:bdr w:val="none" w:sz="0" w:space="0" w:color="auto" w:frame="1"/>
                          </w:rPr>
                          <w:t>’ format needs to be uploaded, (</w:t>
                        </w:r>
                        <w:r>
                          <w:rPr>
                            <w:rFonts w:ascii="Times New Roman" w:hAnsi="Times New Roman" w:cs="Times New Roman"/>
                            <w:color w:val="auto"/>
                            <w:sz w:val="24"/>
                            <w:szCs w:val="24"/>
                            <w:bdr w:val="none" w:sz="0" w:space="0" w:color="auto" w:frame="1"/>
                          </w:rPr>
                          <w:t>d</w:t>
                        </w:r>
                        <w:r w:rsidRPr="00E06BDA">
                          <w:rPr>
                            <w:rFonts w:ascii="Times New Roman" w:hAnsi="Times New Roman" w:cs="Times New Roman"/>
                            <w:color w:val="auto"/>
                            <w:sz w:val="24"/>
                            <w:szCs w:val="24"/>
                            <w:bdr w:val="none" w:sz="0" w:space="0" w:color="auto" w:frame="1"/>
                          </w:rPr>
                          <w:t>) Adjusting the Query coverage cut-off (if required), and (</w:t>
                        </w:r>
                        <w:r>
                          <w:rPr>
                            <w:rFonts w:ascii="Times New Roman" w:hAnsi="Times New Roman" w:cs="Times New Roman"/>
                            <w:color w:val="auto"/>
                            <w:sz w:val="24"/>
                            <w:szCs w:val="24"/>
                            <w:bdr w:val="none" w:sz="0" w:space="0" w:color="auto" w:frame="1"/>
                          </w:rPr>
                          <w:t>e</w:t>
                        </w:r>
                        <w:r w:rsidRPr="00E06BDA">
                          <w:rPr>
                            <w:rFonts w:ascii="Times New Roman" w:hAnsi="Times New Roman" w:cs="Times New Roman"/>
                            <w:color w:val="auto"/>
                            <w:sz w:val="24"/>
                            <w:szCs w:val="24"/>
                            <w:bdr w:val="none" w:sz="0" w:space="0" w:color="auto" w:frame="1"/>
                          </w:rPr>
                          <w:t>) Declaration that the submitted sequences conform to ‘.FASTA’ format (which is the NOD-friendly format). (2) Upon successful job submission, a window opens which informs the user that the responses from NOD will be notified to the provided e-mail address. New jobs can be submitted by clicking on the ‘START OVER’ button (indicated in black arrow) which would take the user to the ‘Run-Options’ page. (3) Once the job is completed, an automated e-mail is sent by the NOD server to the user supplied e-mail ID with a link (indicated with black arrow) to view the responses from NOD. (4) On clicking the link, a HTML file with tabulated data is displayed on the NOD interface. Description on the type of data compiled in each column is provided at the top of the table (highlighted with a red box). The table can be downloaded as a tab</w:t>
                        </w:r>
                        <w:r>
                          <w:rPr>
                            <w:rFonts w:ascii="Times New Roman" w:hAnsi="Times New Roman" w:cs="Times New Roman"/>
                            <w:color w:val="auto"/>
                            <w:sz w:val="24"/>
                            <w:szCs w:val="24"/>
                            <w:bdr w:val="none" w:sz="0" w:space="0" w:color="auto" w:frame="1"/>
                          </w:rPr>
                          <w:t>-</w:t>
                        </w:r>
                        <w:r w:rsidRPr="00E06BDA">
                          <w:rPr>
                            <w:rFonts w:ascii="Times New Roman" w:hAnsi="Times New Roman" w:cs="Times New Roman"/>
                            <w:color w:val="auto"/>
                            <w:sz w:val="24"/>
                            <w:szCs w:val="24"/>
                            <w:bdr w:val="none" w:sz="0" w:space="0" w:color="auto" w:frame="1"/>
                          </w:rPr>
                          <w:t xml:space="preserve">separated file by clicking on the ‘Download Table’ button (indicated with a black arrow). </w:t>
                        </w:r>
                        <w:r>
                          <w:rPr>
                            <w:rFonts w:ascii="Times New Roman" w:hAnsi="Times New Roman" w:cs="Times New Roman"/>
                            <w:color w:val="auto"/>
                            <w:sz w:val="24"/>
                            <w:szCs w:val="24"/>
                            <w:bdr w:val="none" w:sz="0" w:space="0" w:color="auto" w:frame="1"/>
                          </w:rPr>
                          <w:t xml:space="preserve">The download-able table contains additional information derived from the DrugBank database (for example, name of the target protein, SMILES code of the shortlisted compounds, etc.). </w:t>
                        </w:r>
                        <w:r w:rsidRPr="0010511A">
                          <w:rPr>
                            <w:rFonts w:ascii="Times New Roman" w:hAnsi="Times New Roman" w:cs="Times New Roman"/>
                            <w:color w:val="auto"/>
                            <w:sz w:val="24"/>
                            <w:szCs w:val="24"/>
                            <w:bdr w:val="none" w:sz="0" w:space="0" w:color="auto" w:frame="1"/>
                          </w:rPr>
                          <w:t xml:space="preserve">The result tables are automatically deleted from the NOD server after 10 days. (5) A snapshot of the results from the output table has been shown here. </w:t>
                        </w:r>
                        <w:r w:rsidRPr="00E06BDA">
                          <w:rPr>
                            <w:rFonts w:ascii="Times New Roman" w:hAnsi="Times New Roman" w:cs="Times New Roman"/>
                            <w:color w:val="auto"/>
                            <w:sz w:val="24"/>
                            <w:szCs w:val="24"/>
                            <w:bdr w:val="none" w:sz="0" w:space="0" w:color="auto" w:frame="1"/>
                          </w:rPr>
                          <w:t xml:space="preserve">The </w:t>
                        </w:r>
                        <w:proofErr w:type="spellStart"/>
                        <w:r w:rsidRPr="00E06BDA">
                          <w:rPr>
                            <w:rFonts w:ascii="Times New Roman" w:hAnsi="Times New Roman" w:cs="Times New Roman"/>
                            <w:color w:val="auto"/>
                            <w:sz w:val="24"/>
                            <w:szCs w:val="24"/>
                            <w:bdr w:val="none" w:sz="0" w:space="0" w:color="auto" w:frame="1"/>
                          </w:rPr>
                          <w:t>UniProt</w:t>
                        </w:r>
                        <w:proofErr w:type="spellEnd"/>
                        <w:r w:rsidRPr="00E06BDA">
                          <w:rPr>
                            <w:rFonts w:ascii="Times New Roman" w:hAnsi="Times New Roman" w:cs="Times New Roman"/>
                            <w:color w:val="auto"/>
                            <w:sz w:val="24"/>
                            <w:szCs w:val="24"/>
                            <w:bdr w:val="none" w:sz="0" w:space="0" w:color="auto" w:frame="1"/>
                          </w:rPr>
                          <w:t xml:space="preserve"> accession code of the target homologue protein and the DrugBank ID of the candidate molecule are provided as clickable links (highlighted with red box) which can direct the user to the respective databases for more details. </w:t>
                        </w:r>
                      </w:p>
                    </w:txbxContent>
                  </v:textbox>
                  <w10:wrap type="topAndBottom" anchorx="margin"/>
                </v:shape>
              </w:pict>
            </mc:Fallback>
          </mc:AlternateContent>
        </w:r>
        <w:r w:rsidR="00382C07" w:rsidRPr="008F5D10">
          <w:rPr>
            <w:noProof/>
            <w:lang w:val="en-US"/>
          </w:rPr>
          <w:drawing>
            <wp:anchor distT="0" distB="0" distL="114300" distR="114300" simplePos="0" relativeHeight="251674624" behindDoc="0" locked="0" layoutInCell="1" allowOverlap="1" wp14:anchorId="49A05274" wp14:editId="074BCF16">
              <wp:simplePos x="0" y="0"/>
              <wp:positionH relativeFrom="margin">
                <wp:align>center</wp:align>
              </wp:positionH>
              <wp:positionV relativeFrom="paragraph">
                <wp:posOffset>673051</wp:posOffset>
              </wp:positionV>
              <wp:extent cx="6289040" cy="42525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9040" cy="425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C07" w:rsidRPr="00C66282">
          <w:rPr>
            <w:rStyle w:val="Hyperlink"/>
            <w:rFonts w:ascii="Times New Roman" w:hAnsi="Times New Roman" w:cs="Times New Roman"/>
            <w:sz w:val="24"/>
            <w:szCs w:val="24"/>
            <w:bdr w:val="none" w:sz="0" w:space="0" w:color="auto" w:frame="1"/>
          </w:rPr>
          <w:t>&amp;city=&amp;dist=</w:t>
        </w:r>
      </w:hyperlink>
      <w:r w:rsidR="00382C07" w:rsidRPr="00F95182">
        <w:rPr>
          <w:rFonts w:ascii="Times New Roman" w:hAnsi="Times New Roman" w:cs="Times New Roman"/>
          <w:sz w:val="24"/>
          <w:szCs w:val="24"/>
          <w:bdr w:val="none" w:sz="0" w:space="0" w:color="auto" w:frame="1"/>
        </w:rPr>
        <w:t>.</w:t>
      </w:r>
    </w:p>
    <w:p w14:paraId="7C4FBABD" w14:textId="0F0AF812" w:rsidR="001241EF" w:rsidRPr="008F5D10" w:rsidRDefault="001241EF" w:rsidP="001241EF">
      <w:pPr>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lastRenderedPageBreak/>
        <w:t>Table S4</w:t>
      </w:r>
      <w:r w:rsidRPr="008F5D10">
        <w:rPr>
          <w:rFonts w:ascii="Times New Roman" w:hAnsi="Times New Roman" w:cs="Times New Roman"/>
          <w:b/>
          <w:bCs/>
          <w:sz w:val="24"/>
          <w:szCs w:val="24"/>
          <w:bdr w:val="none" w:sz="0" w:space="0" w:color="auto" w:frame="1"/>
        </w:rPr>
        <w:t>: List of SARS-CoV-2 protein sequences submitted to NOD under MODE-1 test operation</w:t>
      </w:r>
    </w:p>
    <w:tbl>
      <w:tblPr>
        <w:tblStyle w:val="TableGrid"/>
        <w:tblW w:w="9351" w:type="dxa"/>
        <w:tblLook w:val="04A0" w:firstRow="1" w:lastRow="0" w:firstColumn="1" w:lastColumn="0" w:noHBand="0" w:noVBand="1"/>
      </w:tblPr>
      <w:tblGrid>
        <w:gridCol w:w="846"/>
        <w:gridCol w:w="2131"/>
        <w:gridCol w:w="6374"/>
      </w:tblGrid>
      <w:tr w:rsidR="001241EF" w:rsidRPr="008F5D10" w14:paraId="55613A74" w14:textId="77777777" w:rsidTr="00B524A6">
        <w:trPr>
          <w:trHeight w:val="284"/>
        </w:trPr>
        <w:tc>
          <w:tcPr>
            <w:tcW w:w="846" w:type="dxa"/>
          </w:tcPr>
          <w:p w14:paraId="19BBE0AB" w14:textId="77777777" w:rsidR="001241EF" w:rsidRPr="008F5D10" w:rsidRDefault="001241EF" w:rsidP="00B524A6">
            <w:pPr>
              <w:jc w:val="both"/>
              <w:rPr>
                <w:rFonts w:ascii="Times New Roman" w:hAnsi="Times New Roman" w:cs="Times New Roman"/>
                <w:b/>
                <w:bCs/>
                <w:sz w:val="24"/>
                <w:szCs w:val="24"/>
                <w:bdr w:val="none" w:sz="0" w:space="0" w:color="auto" w:frame="1"/>
              </w:rPr>
            </w:pPr>
            <w:r w:rsidRPr="008F5D10">
              <w:rPr>
                <w:rFonts w:ascii="Times New Roman" w:hAnsi="Times New Roman" w:cs="Times New Roman"/>
                <w:b/>
                <w:bCs/>
                <w:sz w:val="24"/>
                <w:szCs w:val="24"/>
                <w:bdr w:val="none" w:sz="0" w:space="0" w:color="auto" w:frame="1"/>
              </w:rPr>
              <w:t>Sl. No.</w:t>
            </w:r>
          </w:p>
        </w:tc>
        <w:tc>
          <w:tcPr>
            <w:tcW w:w="2131" w:type="dxa"/>
          </w:tcPr>
          <w:p w14:paraId="57A6CB46" w14:textId="77777777" w:rsidR="001241EF" w:rsidRPr="008F5D10" w:rsidRDefault="001241EF" w:rsidP="00B524A6">
            <w:pPr>
              <w:jc w:val="both"/>
              <w:rPr>
                <w:rFonts w:ascii="Times New Roman" w:hAnsi="Times New Roman" w:cs="Times New Roman"/>
                <w:b/>
                <w:bCs/>
                <w:sz w:val="24"/>
                <w:szCs w:val="24"/>
                <w:bdr w:val="none" w:sz="0" w:space="0" w:color="auto" w:frame="1"/>
              </w:rPr>
            </w:pPr>
            <w:r w:rsidRPr="008F5D10">
              <w:rPr>
                <w:rFonts w:ascii="Times New Roman" w:hAnsi="Times New Roman" w:cs="Times New Roman"/>
                <w:b/>
                <w:bCs/>
                <w:sz w:val="24"/>
                <w:szCs w:val="24"/>
                <w:bdr w:val="none" w:sz="0" w:space="0" w:color="auto" w:frame="1"/>
              </w:rPr>
              <w:t>UniProt Code</w:t>
            </w:r>
          </w:p>
        </w:tc>
        <w:tc>
          <w:tcPr>
            <w:tcW w:w="6374" w:type="dxa"/>
          </w:tcPr>
          <w:p w14:paraId="34D11D63" w14:textId="77777777" w:rsidR="001241EF" w:rsidRPr="008F5D10" w:rsidRDefault="001241EF" w:rsidP="00B524A6">
            <w:pPr>
              <w:jc w:val="both"/>
              <w:rPr>
                <w:rFonts w:ascii="Times New Roman" w:hAnsi="Times New Roman" w:cs="Times New Roman"/>
                <w:b/>
                <w:bCs/>
                <w:sz w:val="24"/>
                <w:szCs w:val="24"/>
                <w:bdr w:val="none" w:sz="0" w:space="0" w:color="auto" w:frame="1"/>
              </w:rPr>
            </w:pPr>
            <w:r w:rsidRPr="008F5D10">
              <w:rPr>
                <w:rFonts w:ascii="Times New Roman" w:hAnsi="Times New Roman" w:cs="Times New Roman"/>
                <w:b/>
                <w:bCs/>
                <w:sz w:val="24"/>
                <w:szCs w:val="24"/>
                <w:bdr w:val="none" w:sz="0" w:space="0" w:color="auto" w:frame="1"/>
              </w:rPr>
              <w:t>Name of the protein</w:t>
            </w:r>
          </w:p>
        </w:tc>
      </w:tr>
      <w:tr w:rsidR="001241EF" w:rsidRPr="008F5D10" w14:paraId="552112FF" w14:textId="77777777" w:rsidTr="00B524A6">
        <w:trPr>
          <w:trHeight w:val="284"/>
        </w:trPr>
        <w:tc>
          <w:tcPr>
            <w:tcW w:w="846" w:type="dxa"/>
          </w:tcPr>
          <w:p w14:paraId="0E0C45AA"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w:t>
            </w:r>
          </w:p>
        </w:tc>
        <w:tc>
          <w:tcPr>
            <w:tcW w:w="2131" w:type="dxa"/>
          </w:tcPr>
          <w:p w14:paraId="07D9563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shd w:val="clear" w:color="auto" w:fill="FFFFFF"/>
              </w:rPr>
              <w:t>P0DTD1</w:t>
            </w:r>
          </w:p>
        </w:tc>
        <w:tc>
          <w:tcPr>
            <w:tcW w:w="6374" w:type="dxa"/>
          </w:tcPr>
          <w:p w14:paraId="37CD2C16" w14:textId="77777777" w:rsidR="001241EF" w:rsidRPr="00382C07" w:rsidRDefault="001241EF" w:rsidP="00B524A6">
            <w:pPr>
              <w:jc w:val="both"/>
              <w:rPr>
                <w:rFonts w:ascii="Times New Roman" w:hAnsi="Times New Roman" w:cs="Times New Roman"/>
                <w:b/>
                <w:bCs/>
                <w:sz w:val="24"/>
                <w:szCs w:val="24"/>
                <w:bdr w:val="none" w:sz="0" w:space="0" w:color="auto" w:frame="1"/>
              </w:rPr>
            </w:pPr>
            <w:r w:rsidRPr="00382C07">
              <w:rPr>
                <w:rStyle w:val="Strong"/>
                <w:rFonts w:ascii="Times New Roman" w:hAnsi="Times New Roman" w:cs="Times New Roman"/>
                <w:b w:val="0"/>
                <w:bCs w:val="0"/>
                <w:sz w:val="24"/>
                <w:szCs w:val="24"/>
                <w:shd w:val="clear" w:color="auto" w:fill="FFFFFF"/>
              </w:rPr>
              <w:t>Replicase polyprotein 1ab</w:t>
            </w:r>
          </w:p>
        </w:tc>
      </w:tr>
      <w:tr w:rsidR="001241EF" w:rsidRPr="008F5D10" w14:paraId="71B9ED66" w14:textId="77777777" w:rsidTr="00B524A6">
        <w:trPr>
          <w:trHeight w:val="284"/>
        </w:trPr>
        <w:tc>
          <w:tcPr>
            <w:tcW w:w="846" w:type="dxa"/>
          </w:tcPr>
          <w:p w14:paraId="70E293A8"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2</w:t>
            </w:r>
          </w:p>
        </w:tc>
        <w:tc>
          <w:tcPr>
            <w:tcW w:w="2131" w:type="dxa"/>
          </w:tcPr>
          <w:p w14:paraId="3F4777C3"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shd w:val="clear" w:color="auto" w:fill="FFFFFF"/>
              </w:rPr>
              <w:t>P0DTC2</w:t>
            </w:r>
          </w:p>
        </w:tc>
        <w:tc>
          <w:tcPr>
            <w:tcW w:w="6374" w:type="dxa"/>
          </w:tcPr>
          <w:p w14:paraId="33CA44B0" w14:textId="77777777" w:rsidR="001241EF" w:rsidRPr="00382C07" w:rsidRDefault="001241EF" w:rsidP="00B524A6">
            <w:pPr>
              <w:jc w:val="both"/>
              <w:rPr>
                <w:rFonts w:ascii="Times New Roman" w:hAnsi="Times New Roman" w:cs="Times New Roman"/>
                <w:sz w:val="24"/>
                <w:szCs w:val="24"/>
                <w:shd w:val="clear" w:color="auto" w:fill="FFFFFF"/>
              </w:rPr>
            </w:pPr>
            <w:r w:rsidRPr="00382C07">
              <w:rPr>
                <w:rFonts w:ascii="Times New Roman" w:hAnsi="Times New Roman" w:cs="Times New Roman"/>
                <w:sz w:val="24"/>
                <w:szCs w:val="24"/>
                <w:shd w:val="clear" w:color="auto" w:fill="FFFFFF"/>
              </w:rPr>
              <w:t>Spike glycoprotein</w:t>
            </w:r>
          </w:p>
        </w:tc>
      </w:tr>
      <w:tr w:rsidR="001241EF" w:rsidRPr="008F5D10" w14:paraId="594CB435" w14:textId="77777777" w:rsidTr="00B524A6">
        <w:trPr>
          <w:trHeight w:val="284"/>
        </w:trPr>
        <w:tc>
          <w:tcPr>
            <w:tcW w:w="846" w:type="dxa"/>
          </w:tcPr>
          <w:p w14:paraId="04D55D9E"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3</w:t>
            </w:r>
          </w:p>
        </w:tc>
        <w:tc>
          <w:tcPr>
            <w:tcW w:w="2131" w:type="dxa"/>
          </w:tcPr>
          <w:p w14:paraId="087517BF"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shd w:val="clear" w:color="auto" w:fill="FFFFFF"/>
              </w:rPr>
              <w:t>P0DTC1</w:t>
            </w:r>
          </w:p>
        </w:tc>
        <w:tc>
          <w:tcPr>
            <w:tcW w:w="6374" w:type="dxa"/>
          </w:tcPr>
          <w:p w14:paraId="0F1CA759"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Replicase polyprotein 1a</w:t>
            </w:r>
          </w:p>
        </w:tc>
      </w:tr>
      <w:tr w:rsidR="001241EF" w:rsidRPr="008F5D10" w14:paraId="190F599E" w14:textId="77777777" w:rsidTr="00B524A6">
        <w:trPr>
          <w:trHeight w:val="284"/>
        </w:trPr>
        <w:tc>
          <w:tcPr>
            <w:tcW w:w="846" w:type="dxa"/>
          </w:tcPr>
          <w:p w14:paraId="6EAA3BE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4</w:t>
            </w:r>
          </w:p>
        </w:tc>
        <w:tc>
          <w:tcPr>
            <w:tcW w:w="2131" w:type="dxa"/>
          </w:tcPr>
          <w:p w14:paraId="13C90747"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shd w:val="clear" w:color="auto" w:fill="FFFFFF"/>
              </w:rPr>
              <w:t>P0DTC7</w:t>
            </w:r>
          </w:p>
        </w:tc>
        <w:tc>
          <w:tcPr>
            <w:tcW w:w="6374" w:type="dxa"/>
          </w:tcPr>
          <w:p w14:paraId="2228FA19"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ORF7a protein</w:t>
            </w:r>
          </w:p>
        </w:tc>
      </w:tr>
      <w:tr w:rsidR="001241EF" w:rsidRPr="008F5D10" w14:paraId="4252F6E0" w14:textId="77777777" w:rsidTr="00B524A6">
        <w:trPr>
          <w:trHeight w:val="284"/>
        </w:trPr>
        <w:tc>
          <w:tcPr>
            <w:tcW w:w="846" w:type="dxa"/>
          </w:tcPr>
          <w:p w14:paraId="7CEDAF4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5</w:t>
            </w:r>
          </w:p>
        </w:tc>
        <w:tc>
          <w:tcPr>
            <w:tcW w:w="2131" w:type="dxa"/>
          </w:tcPr>
          <w:p w14:paraId="456A2F6D"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shd w:val="clear" w:color="auto" w:fill="FFFFFF"/>
              </w:rPr>
              <w:t>P0DTC3</w:t>
            </w:r>
          </w:p>
        </w:tc>
        <w:tc>
          <w:tcPr>
            <w:tcW w:w="6374" w:type="dxa"/>
          </w:tcPr>
          <w:p w14:paraId="15AA5386" w14:textId="77777777" w:rsidR="001241EF" w:rsidRPr="00382C07" w:rsidRDefault="001241EF" w:rsidP="00B524A6">
            <w:pPr>
              <w:jc w:val="both"/>
              <w:rPr>
                <w:rStyle w:val="Strong"/>
                <w:rFonts w:ascii="Times New Roman" w:hAnsi="Times New Roman" w:cs="Times New Roman"/>
                <w:b w:val="0"/>
                <w:bCs w:val="0"/>
                <w:sz w:val="24"/>
                <w:szCs w:val="24"/>
                <w:shd w:val="clear" w:color="auto" w:fill="FFFFFF"/>
              </w:rPr>
            </w:pPr>
            <w:r w:rsidRPr="00382C07">
              <w:rPr>
                <w:rStyle w:val="Strong"/>
                <w:rFonts w:ascii="Times New Roman" w:hAnsi="Times New Roman" w:cs="Times New Roman"/>
                <w:b w:val="0"/>
                <w:bCs w:val="0"/>
                <w:sz w:val="24"/>
                <w:szCs w:val="24"/>
                <w:shd w:val="clear" w:color="auto" w:fill="FFFFFF"/>
              </w:rPr>
              <w:t>ORF3a protein</w:t>
            </w:r>
          </w:p>
        </w:tc>
      </w:tr>
      <w:tr w:rsidR="001241EF" w:rsidRPr="008F5D10" w14:paraId="07F94D5D" w14:textId="77777777" w:rsidTr="00B524A6">
        <w:trPr>
          <w:trHeight w:val="284"/>
        </w:trPr>
        <w:tc>
          <w:tcPr>
            <w:tcW w:w="846" w:type="dxa"/>
          </w:tcPr>
          <w:p w14:paraId="03D5B5E3"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6</w:t>
            </w:r>
          </w:p>
        </w:tc>
        <w:tc>
          <w:tcPr>
            <w:tcW w:w="2131" w:type="dxa"/>
          </w:tcPr>
          <w:p w14:paraId="38AF7605"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shd w:val="clear" w:color="auto" w:fill="FFFFFF"/>
              </w:rPr>
              <w:t>P0DTC5</w:t>
            </w:r>
          </w:p>
        </w:tc>
        <w:tc>
          <w:tcPr>
            <w:tcW w:w="6374" w:type="dxa"/>
          </w:tcPr>
          <w:p w14:paraId="3E4F6C44"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Membrane protein</w:t>
            </w:r>
          </w:p>
        </w:tc>
      </w:tr>
      <w:tr w:rsidR="001241EF" w:rsidRPr="008F5D10" w14:paraId="684578C2" w14:textId="77777777" w:rsidTr="00B524A6">
        <w:trPr>
          <w:trHeight w:val="284"/>
        </w:trPr>
        <w:tc>
          <w:tcPr>
            <w:tcW w:w="846" w:type="dxa"/>
          </w:tcPr>
          <w:p w14:paraId="0219A86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7</w:t>
            </w:r>
          </w:p>
        </w:tc>
        <w:tc>
          <w:tcPr>
            <w:tcW w:w="2131" w:type="dxa"/>
          </w:tcPr>
          <w:p w14:paraId="2D5E3310"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rPr>
              <w:t>P0DTC9</w:t>
            </w:r>
          </w:p>
        </w:tc>
        <w:tc>
          <w:tcPr>
            <w:tcW w:w="6374" w:type="dxa"/>
          </w:tcPr>
          <w:p w14:paraId="11D9B6C6"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Nucleoprotein</w:t>
            </w:r>
          </w:p>
        </w:tc>
      </w:tr>
      <w:tr w:rsidR="001241EF" w:rsidRPr="008F5D10" w14:paraId="3C905FBA" w14:textId="77777777" w:rsidTr="00B524A6">
        <w:trPr>
          <w:trHeight w:val="284"/>
        </w:trPr>
        <w:tc>
          <w:tcPr>
            <w:tcW w:w="846" w:type="dxa"/>
          </w:tcPr>
          <w:p w14:paraId="4C369879"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8</w:t>
            </w:r>
          </w:p>
        </w:tc>
        <w:tc>
          <w:tcPr>
            <w:tcW w:w="2131" w:type="dxa"/>
          </w:tcPr>
          <w:p w14:paraId="6584264F" w14:textId="77777777" w:rsidR="001241EF" w:rsidRPr="008F5D10" w:rsidRDefault="001241EF" w:rsidP="00B524A6">
            <w:pPr>
              <w:jc w:val="both"/>
              <w:rPr>
                <w:rFonts w:ascii="Times New Roman" w:hAnsi="Times New Roman" w:cs="Times New Roman"/>
                <w:sz w:val="24"/>
                <w:szCs w:val="24"/>
              </w:rPr>
            </w:pPr>
            <w:r w:rsidRPr="008F5D10">
              <w:rPr>
                <w:rFonts w:ascii="Times New Roman" w:hAnsi="Times New Roman" w:cs="Times New Roman"/>
                <w:sz w:val="24"/>
                <w:szCs w:val="24"/>
              </w:rPr>
              <w:t>P0DTD2</w:t>
            </w:r>
          </w:p>
        </w:tc>
        <w:tc>
          <w:tcPr>
            <w:tcW w:w="6374" w:type="dxa"/>
          </w:tcPr>
          <w:p w14:paraId="19BE8210"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ORF9b protein</w:t>
            </w:r>
          </w:p>
        </w:tc>
      </w:tr>
      <w:tr w:rsidR="001241EF" w:rsidRPr="008F5D10" w14:paraId="6E36BB5D" w14:textId="77777777" w:rsidTr="00B524A6">
        <w:trPr>
          <w:trHeight w:val="284"/>
        </w:trPr>
        <w:tc>
          <w:tcPr>
            <w:tcW w:w="846" w:type="dxa"/>
          </w:tcPr>
          <w:p w14:paraId="09B53A1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9</w:t>
            </w:r>
          </w:p>
        </w:tc>
        <w:tc>
          <w:tcPr>
            <w:tcW w:w="2131" w:type="dxa"/>
          </w:tcPr>
          <w:p w14:paraId="08823DD4" w14:textId="77777777" w:rsidR="001241EF" w:rsidRPr="008F5D10" w:rsidRDefault="001241EF" w:rsidP="00B524A6">
            <w:pPr>
              <w:jc w:val="both"/>
              <w:rPr>
                <w:rFonts w:ascii="Times New Roman" w:hAnsi="Times New Roman" w:cs="Times New Roman"/>
                <w:sz w:val="24"/>
                <w:szCs w:val="24"/>
              </w:rPr>
            </w:pPr>
            <w:r w:rsidRPr="008F5D10">
              <w:rPr>
                <w:rFonts w:ascii="Times New Roman" w:hAnsi="Times New Roman" w:cs="Times New Roman"/>
                <w:sz w:val="24"/>
                <w:szCs w:val="24"/>
              </w:rPr>
              <w:t>P0DTC6</w:t>
            </w:r>
          </w:p>
        </w:tc>
        <w:tc>
          <w:tcPr>
            <w:tcW w:w="6374" w:type="dxa"/>
          </w:tcPr>
          <w:p w14:paraId="078AADB5"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ORF6 protein</w:t>
            </w:r>
          </w:p>
        </w:tc>
      </w:tr>
      <w:tr w:rsidR="001241EF" w:rsidRPr="008F5D10" w14:paraId="020C9868" w14:textId="77777777" w:rsidTr="00B524A6">
        <w:trPr>
          <w:trHeight w:val="284"/>
        </w:trPr>
        <w:tc>
          <w:tcPr>
            <w:tcW w:w="846" w:type="dxa"/>
          </w:tcPr>
          <w:p w14:paraId="44BECAFB"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10</w:t>
            </w:r>
          </w:p>
        </w:tc>
        <w:tc>
          <w:tcPr>
            <w:tcW w:w="2131" w:type="dxa"/>
          </w:tcPr>
          <w:p w14:paraId="667DE41C"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rPr>
              <w:t>P0DTC4</w:t>
            </w:r>
          </w:p>
        </w:tc>
        <w:tc>
          <w:tcPr>
            <w:tcW w:w="6374" w:type="dxa"/>
          </w:tcPr>
          <w:p w14:paraId="06A4F9B7" w14:textId="77777777" w:rsidR="001241EF" w:rsidRPr="00382C07" w:rsidRDefault="001241EF" w:rsidP="00B524A6">
            <w:pPr>
              <w:jc w:val="both"/>
              <w:rPr>
                <w:rStyle w:val="Strong"/>
                <w:rFonts w:ascii="Times New Roman" w:hAnsi="Times New Roman" w:cs="Times New Roman"/>
                <w:b w:val="0"/>
                <w:bCs w:val="0"/>
                <w:sz w:val="24"/>
                <w:szCs w:val="24"/>
              </w:rPr>
            </w:pPr>
            <w:r w:rsidRPr="00382C07">
              <w:rPr>
                <w:rStyle w:val="Strong"/>
                <w:rFonts w:ascii="Times New Roman" w:hAnsi="Times New Roman" w:cs="Times New Roman"/>
                <w:b w:val="0"/>
                <w:bCs w:val="0"/>
                <w:sz w:val="24"/>
                <w:szCs w:val="24"/>
                <w:shd w:val="clear" w:color="auto" w:fill="FFFFFF"/>
              </w:rPr>
              <w:t>Envelope small membrane protein</w:t>
            </w:r>
          </w:p>
        </w:tc>
      </w:tr>
      <w:tr w:rsidR="001241EF" w:rsidRPr="008F5D10" w14:paraId="2201A911" w14:textId="77777777" w:rsidTr="00B524A6">
        <w:trPr>
          <w:trHeight w:val="284"/>
        </w:trPr>
        <w:tc>
          <w:tcPr>
            <w:tcW w:w="846" w:type="dxa"/>
          </w:tcPr>
          <w:p w14:paraId="383F86BA"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11</w:t>
            </w:r>
          </w:p>
        </w:tc>
        <w:tc>
          <w:tcPr>
            <w:tcW w:w="2131" w:type="dxa"/>
          </w:tcPr>
          <w:p w14:paraId="78206935" w14:textId="77777777" w:rsidR="001241EF" w:rsidRPr="008F5D10" w:rsidRDefault="001241EF" w:rsidP="00B524A6">
            <w:pPr>
              <w:jc w:val="both"/>
              <w:rPr>
                <w:rStyle w:val="Strong"/>
                <w:rFonts w:ascii="Times New Roman" w:hAnsi="Times New Roman" w:cs="Times New Roman"/>
                <w:sz w:val="24"/>
                <w:szCs w:val="24"/>
              </w:rPr>
            </w:pPr>
            <w:r w:rsidRPr="008F5D10">
              <w:rPr>
                <w:rFonts w:ascii="Times New Roman" w:hAnsi="Times New Roman" w:cs="Times New Roman"/>
                <w:sz w:val="24"/>
                <w:szCs w:val="24"/>
              </w:rPr>
              <w:t>P0DTC8</w:t>
            </w:r>
          </w:p>
        </w:tc>
        <w:tc>
          <w:tcPr>
            <w:tcW w:w="6374" w:type="dxa"/>
          </w:tcPr>
          <w:p w14:paraId="0E710CB8" w14:textId="77777777" w:rsidR="001241EF" w:rsidRPr="00382C07" w:rsidRDefault="001241EF" w:rsidP="00B524A6">
            <w:pPr>
              <w:jc w:val="both"/>
              <w:rPr>
                <w:rStyle w:val="Strong"/>
                <w:rFonts w:ascii="Times New Roman" w:hAnsi="Times New Roman" w:cs="Times New Roman"/>
                <w:b w:val="0"/>
                <w:bCs w:val="0"/>
                <w:sz w:val="24"/>
                <w:szCs w:val="24"/>
                <w:shd w:val="clear" w:color="auto" w:fill="FFFFFF"/>
              </w:rPr>
            </w:pPr>
            <w:r w:rsidRPr="00382C07">
              <w:rPr>
                <w:rStyle w:val="Strong"/>
                <w:rFonts w:ascii="Times New Roman" w:hAnsi="Times New Roman" w:cs="Times New Roman"/>
                <w:b w:val="0"/>
                <w:bCs w:val="0"/>
                <w:sz w:val="24"/>
                <w:szCs w:val="24"/>
                <w:shd w:val="clear" w:color="auto" w:fill="FFFFFF"/>
              </w:rPr>
              <w:t>ORF8 protein</w:t>
            </w:r>
          </w:p>
        </w:tc>
      </w:tr>
      <w:tr w:rsidR="001241EF" w:rsidRPr="008F5D10" w14:paraId="03C488DB" w14:textId="77777777" w:rsidTr="00B524A6">
        <w:trPr>
          <w:trHeight w:val="284"/>
        </w:trPr>
        <w:tc>
          <w:tcPr>
            <w:tcW w:w="846" w:type="dxa"/>
          </w:tcPr>
          <w:p w14:paraId="34BFA9D3"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12</w:t>
            </w:r>
          </w:p>
        </w:tc>
        <w:tc>
          <w:tcPr>
            <w:tcW w:w="2131" w:type="dxa"/>
          </w:tcPr>
          <w:p w14:paraId="37E2C36B"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rPr>
              <w:t>P0DTD8</w:t>
            </w:r>
          </w:p>
        </w:tc>
        <w:tc>
          <w:tcPr>
            <w:tcW w:w="6374" w:type="dxa"/>
          </w:tcPr>
          <w:p w14:paraId="116FA974" w14:textId="77777777" w:rsidR="001241EF" w:rsidRPr="00382C07" w:rsidRDefault="001241EF" w:rsidP="00B524A6">
            <w:pPr>
              <w:jc w:val="both"/>
              <w:rPr>
                <w:rStyle w:val="Strong"/>
                <w:rFonts w:ascii="Times New Roman" w:hAnsi="Times New Roman" w:cs="Times New Roman"/>
                <w:sz w:val="24"/>
                <w:szCs w:val="24"/>
                <w:shd w:val="clear" w:color="auto" w:fill="FFFFFF"/>
              </w:rPr>
            </w:pPr>
            <w:r w:rsidRPr="00382C07">
              <w:rPr>
                <w:rFonts w:ascii="Times New Roman" w:hAnsi="Times New Roman" w:cs="Times New Roman"/>
                <w:sz w:val="24"/>
                <w:szCs w:val="24"/>
              </w:rPr>
              <w:t>ORF7b protein</w:t>
            </w:r>
          </w:p>
        </w:tc>
      </w:tr>
      <w:tr w:rsidR="001241EF" w:rsidRPr="008F5D10" w14:paraId="1F31D3CD" w14:textId="77777777" w:rsidTr="00B524A6">
        <w:trPr>
          <w:trHeight w:val="284"/>
        </w:trPr>
        <w:tc>
          <w:tcPr>
            <w:tcW w:w="846" w:type="dxa"/>
          </w:tcPr>
          <w:p w14:paraId="25C2F880"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13</w:t>
            </w:r>
          </w:p>
        </w:tc>
        <w:tc>
          <w:tcPr>
            <w:tcW w:w="2131" w:type="dxa"/>
          </w:tcPr>
          <w:p w14:paraId="43C41028" w14:textId="77777777" w:rsidR="001241EF" w:rsidRPr="008F5D10" w:rsidRDefault="001241EF" w:rsidP="00B524A6">
            <w:pPr>
              <w:jc w:val="both"/>
              <w:rPr>
                <w:rFonts w:ascii="Times New Roman" w:hAnsi="Times New Roman" w:cs="Times New Roman"/>
                <w:sz w:val="24"/>
                <w:szCs w:val="24"/>
                <w:shd w:val="clear" w:color="auto" w:fill="FFFFFF"/>
              </w:rPr>
            </w:pPr>
            <w:r w:rsidRPr="008F5D10">
              <w:rPr>
                <w:rFonts w:ascii="Times New Roman" w:hAnsi="Times New Roman" w:cs="Times New Roman"/>
                <w:sz w:val="24"/>
                <w:szCs w:val="24"/>
              </w:rPr>
              <w:t>P0DTD3</w:t>
            </w:r>
          </w:p>
        </w:tc>
        <w:tc>
          <w:tcPr>
            <w:tcW w:w="6374" w:type="dxa"/>
          </w:tcPr>
          <w:p w14:paraId="53AC9736" w14:textId="77777777" w:rsidR="001241EF" w:rsidRPr="00382C07" w:rsidRDefault="001241EF" w:rsidP="00B524A6">
            <w:pPr>
              <w:jc w:val="both"/>
              <w:rPr>
                <w:rFonts w:ascii="Times New Roman" w:hAnsi="Times New Roman" w:cs="Times New Roman"/>
                <w:sz w:val="24"/>
                <w:szCs w:val="24"/>
              </w:rPr>
            </w:pPr>
            <w:r w:rsidRPr="00382C07">
              <w:rPr>
                <w:rFonts w:ascii="Times New Roman" w:hAnsi="Times New Roman" w:cs="Times New Roman"/>
                <w:sz w:val="24"/>
                <w:szCs w:val="24"/>
              </w:rPr>
              <w:t>ORF9c protein</w:t>
            </w:r>
          </w:p>
        </w:tc>
      </w:tr>
      <w:tr w:rsidR="001241EF" w:rsidRPr="008F5D10" w14:paraId="6BF1BF60" w14:textId="77777777" w:rsidTr="00B524A6">
        <w:trPr>
          <w:trHeight w:val="284"/>
        </w:trPr>
        <w:tc>
          <w:tcPr>
            <w:tcW w:w="846" w:type="dxa"/>
          </w:tcPr>
          <w:p w14:paraId="55972980"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14</w:t>
            </w:r>
          </w:p>
        </w:tc>
        <w:tc>
          <w:tcPr>
            <w:tcW w:w="2131" w:type="dxa"/>
          </w:tcPr>
          <w:p w14:paraId="231FFF06" w14:textId="77777777" w:rsidR="001241EF" w:rsidRPr="008F5D10" w:rsidRDefault="001241EF" w:rsidP="00B524A6">
            <w:pPr>
              <w:jc w:val="both"/>
              <w:rPr>
                <w:rFonts w:ascii="Times New Roman" w:hAnsi="Times New Roman" w:cs="Times New Roman"/>
                <w:sz w:val="24"/>
                <w:szCs w:val="24"/>
              </w:rPr>
            </w:pPr>
            <w:r w:rsidRPr="008F5D10">
              <w:rPr>
                <w:rFonts w:ascii="Times New Roman" w:hAnsi="Times New Roman" w:cs="Times New Roman"/>
                <w:sz w:val="24"/>
                <w:szCs w:val="24"/>
              </w:rPr>
              <w:t>P0DTF1</w:t>
            </w:r>
          </w:p>
        </w:tc>
        <w:tc>
          <w:tcPr>
            <w:tcW w:w="6374" w:type="dxa"/>
          </w:tcPr>
          <w:p w14:paraId="1D8755C2" w14:textId="77777777" w:rsidR="001241EF" w:rsidRPr="00382C07" w:rsidRDefault="001241EF" w:rsidP="00B524A6">
            <w:pPr>
              <w:jc w:val="both"/>
              <w:rPr>
                <w:rFonts w:ascii="Times New Roman" w:hAnsi="Times New Roman" w:cs="Times New Roman"/>
                <w:sz w:val="24"/>
                <w:szCs w:val="24"/>
              </w:rPr>
            </w:pPr>
            <w:r w:rsidRPr="00382C07">
              <w:rPr>
                <w:rFonts w:ascii="Times New Roman" w:hAnsi="Times New Roman" w:cs="Times New Roman"/>
                <w:sz w:val="24"/>
                <w:szCs w:val="24"/>
              </w:rPr>
              <w:t>ORF3b protein</w:t>
            </w:r>
          </w:p>
        </w:tc>
      </w:tr>
      <w:tr w:rsidR="001241EF" w:rsidRPr="008F5D10" w14:paraId="241C0A32" w14:textId="77777777" w:rsidTr="00B524A6">
        <w:trPr>
          <w:trHeight w:val="284"/>
        </w:trPr>
        <w:tc>
          <w:tcPr>
            <w:tcW w:w="846" w:type="dxa"/>
          </w:tcPr>
          <w:p w14:paraId="3447C627"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15</w:t>
            </w:r>
          </w:p>
        </w:tc>
        <w:tc>
          <w:tcPr>
            <w:tcW w:w="2131" w:type="dxa"/>
          </w:tcPr>
          <w:p w14:paraId="40899ECF" w14:textId="77777777" w:rsidR="001241EF" w:rsidRPr="008F5D10" w:rsidRDefault="001241EF" w:rsidP="00B524A6">
            <w:pPr>
              <w:jc w:val="both"/>
              <w:rPr>
                <w:rFonts w:ascii="Times New Roman" w:hAnsi="Times New Roman" w:cs="Times New Roman"/>
                <w:sz w:val="24"/>
                <w:szCs w:val="24"/>
              </w:rPr>
            </w:pPr>
            <w:r w:rsidRPr="008F5D10">
              <w:rPr>
                <w:rFonts w:ascii="Times New Roman" w:hAnsi="Times New Roman" w:cs="Times New Roman"/>
                <w:sz w:val="24"/>
                <w:szCs w:val="24"/>
              </w:rPr>
              <w:t>P0DTG0</w:t>
            </w:r>
          </w:p>
        </w:tc>
        <w:tc>
          <w:tcPr>
            <w:tcW w:w="6374" w:type="dxa"/>
          </w:tcPr>
          <w:p w14:paraId="7A9E4077" w14:textId="77777777" w:rsidR="001241EF" w:rsidRPr="00135527" w:rsidRDefault="001241EF" w:rsidP="00B524A6">
            <w:pPr>
              <w:jc w:val="both"/>
              <w:rPr>
                <w:rFonts w:ascii="Times New Roman" w:hAnsi="Times New Roman" w:cs="Times New Roman"/>
                <w:sz w:val="24"/>
                <w:szCs w:val="24"/>
              </w:rPr>
            </w:pPr>
            <w:r w:rsidRPr="00135527">
              <w:rPr>
                <w:rFonts w:ascii="Times New Roman" w:hAnsi="Times New Roman" w:cs="Times New Roman"/>
                <w:sz w:val="24"/>
                <w:szCs w:val="24"/>
              </w:rPr>
              <w:t>ORF3d protein</w:t>
            </w:r>
          </w:p>
        </w:tc>
      </w:tr>
      <w:tr w:rsidR="001241EF" w:rsidRPr="008F5D10" w14:paraId="564F963F" w14:textId="77777777" w:rsidTr="00B524A6">
        <w:trPr>
          <w:trHeight w:val="284"/>
        </w:trPr>
        <w:tc>
          <w:tcPr>
            <w:tcW w:w="846" w:type="dxa"/>
          </w:tcPr>
          <w:p w14:paraId="62BFE878" w14:textId="77777777" w:rsidR="001241EF" w:rsidRPr="008F5D10" w:rsidRDefault="001241EF" w:rsidP="00B524A6">
            <w:pPr>
              <w:jc w:val="both"/>
              <w:rPr>
                <w:rFonts w:ascii="Times New Roman" w:hAnsi="Times New Roman" w:cs="Times New Roman"/>
                <w:sz w:val="24"/>
                <w:szCs w:val="24"/>
                <w:bdr w:val="none" w:sz="0" w:space="0" w:color="auto" w:frame="1"/>
              </w:rPr>
            </w:pPr>
            <w:r w:rsidRPr="008F5D10">
              <w:rPr>
                <w:rFonts w:ascii="Times New Roman" w:hAnsi="Times New Roman" w:cs="Times New Roman"/>
                <w:sz w:val="24"/>
                <w:szCs w:val="24"/>
                <w:bdr w:val="none" w:sz="0" w:space="0" w:color="auto" w:frame="1"/>
              </w:rPr>
              <w:t>16</w:t>
            </w:r>
          </w:p>
        </w:tc>
        <w:tc>
          <w:tcPr>
            <w:tcW w:w="2131" w:type="dxa"/>
          </w:tcPr>
          <w:p w14:paraId="7746284B" w14:textId="77777777" w:rsidR="001241EF" w:rsidRPr="008F5D10" w:rsidRDefault="001241EF" w:rsidP="00B524A6">
            <w:pPr>
              <w:jc w:val="both"/>
              <w:rPr>
                <w:rFonts w:ascii="Times New Roman" w:hAnsi="Times New Roman" w:cs="Times New Roman"/>
                <w:sz w:val="24"/>
                <w:szCs w:val="24"/>
              </w:rPr>
            </w:pPr>
            <w:r w:rsidRPr="008F5D10">
              <w:rPr>
                <w:rFonts w:ascii="Times New Roman" w:hAnsi="Times New Roman" w:cs="Times New Roman"/>
                <w:sz w:val="24"/>
                <w:szCs w:val="24"/>
              </w:rPr>
              <w:t>P0DTG1</w:t>
            </w:r>
          </w:p>
        </w:tc>
        <w:tc>
          <w:tcPr>
            <w:tcW w:w="6374" w:type="dxa"/>
          </w:tcPr>
          <w:p w14:paraId="5984CA3E" w14:textId="77777777" w:rsidR="001241EF" w:rsidRPr="00135527" w:rsidRDefault="001241EF" w:rsidP="00B524A6">
            <w:pPr>
              <w:jc w:val="both"/>
              <w:rPr>
                <w:rFonts w:ascii="Times New Roman" w:hAnsi="Times New Roman" w:cs="Times New Roman"/>
                <w:sz w:val="24"/>
                <w:szCs w:val="24"/>
              </w:rPr>
            </w:pPr>
            <w:r w:rsidRPr="00135527">
              <w:rPr>
                <w:rFonts w:ascii="Times New Roman" w:hAnsi="Times New Roman" w:cs="Times New Roman"/>
                <w:sz w:val="24"/>
                <w:szCs w:val="24"/>
              </w:rPr>
              <w:t>ORF3c protein</w:t>
            </w:r>
          </w:p>
        </w:tc>
      </w:tr>
    </w:tbl>
    <w:p w14:paraId="54A66E57" w14:textId="762169A6" w:rsidR="00AD048E" w:rsidRDefault="00AD048E" w:rsidP="001241EF">
      <w:pPr>
        <w:rPr>
          <w:rFonts w:ascii="Times New Roman" w:hAnsi="Times New Roman" w:cs="Times New Roman"/>
          <w:sz w:val="24"/>
          <w:szCs w:val="24"/>
          <w:bdr w:val="none" w:sz="0" w:space="0" w:color="auto" w:frame="1"/>
        </w:rPr>
      </w:pPr>
    </w:p>
    <w:p w14:paraId="719B9CC4" w14:textId="715AC3B3" w:rsidR="00266ECD" w:rsidRPr="00F95182" w:rsidRDefault="00266ECD" w:rsidP="00F95182">
      <w:pPr>
        <w:spacing w:line="480" w:lineRule="auto"/>
        <w:jc w:val="both"/>
        <w:rPr>
          <w:rFonts w:ascii="Times New Roman" w:hAnsi="Times New Roman" w:cs="Times New Roman"/>
          <w:sz w:val="24"/>
          <w:szCs w:val="24"/>
          <w:bdr w:val="none" w:sz="0" w:space="0" w:color="auto" w:frame="1"/>
        </w:rPr>
      </w:pPr>
      <w:r w:rsidRPr="00F95182">
        <w:rPr>
          <w:rFonts w:ascii="Times New Roman" w:hAnsi="Times New Roman" w:cs="Times New Roman"/>
          <w:b/>
          <w:bCs/>
          <w:sz w:val="24"/>
          <w:szCs w:val="24"/>
          <w:bdr w:val="none" w:sz="0" w:space="0" w:color="auto" w:frame="1"/>
        </w:rPr>
        <w:t xml:space="preserve">MODE-2: </w:t>
      </w:r>
      <w:r w:rsidRPr="00F95182">
        <w:rPr>
          <w:rFonts w:ascii="Times New Roman" w:hAnsi="Times New Roman" w:cs="Times New Roman"/>
          <w:sz w:val="24"/>
          <w:szCs w:val="24"/>
          <w:bdr w:val="none" w:sz="0" w:space="0" w:color="auto" w:frame="1"/>
        </w:rPr>
        <w:t xml:space="preserve">The amino acid sequence of replicase polyprotein 1ab in SARS-CoV-2 (P0DTD1, https://www.uniprot.org/uniprot/P0DTD1) </w:t>
      </w:r>
      <w:r w:rsidR="00E21DF8">
        <w:rPr>
          <w:rFonts w:ascii="Times New Roman" w:hAnsi="Times New Roman" w:cs="Times New Roman"/>
          <w:sz w:val="24"/>
          <w:szCs w:val="24"/>
          <w:bdr w:val="none" w:sz="0" w:space="0" w:color="auto" w:frame="1"/>
        </w:rPr>
        <w:t xml:space="preserve">was used as input in MODE-2. The sequence of this protein </w:t>
      </w:r>
      <w:r w:rsidRPr="00F95182">
        <w:rPr>
          <w:rFonts w:ascii="Times New Roman" w:hAnsi="Times New Roman" w:cs="Times New Roman"/>
          <w:sz w:val="24"/>
          <w:szCs w:val="24"/>
          <w:bdr w:val="none" w:sz="0" w:space="0" w:color="auto" w:frame="1"/>
        </w:rPr>
        <w:t>encodes multiple proteins of the virus</w:t>
      </w:r>
      <w:r w:rsidR="00C5281D"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including the proteases which are responsible for cleavage of the polyprotein to functional forms, thereby aiding in the process of viral transcription and replication. One of these proteases is the 3C-like protease</w:t>
      </w:r>
      <w:r w:rsidR="008F5D10"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or the main protease</w:t>
      </w:r>
      <w:r w:rsidR="00C5281D"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which play</w:t>
      </w:r>
      <w:r w:rsidR="0025177D" w:rsidRPr="00F95182">
        <w:rPr>
          <w:rFonts w:ascii="Times New Roman" w:hAnsi="Times New Roman" w:cs="Times New Roman"/>
          <w:sz w:val="24"/>
          <w:szCs w:val="24"/>
          <w:bdr w:val="none" w:sz="0" w:space="0" w:color="auto" w:frame="1"/>
        </w:rPr>
        <w:t>s</w:t>
      </w:r>
      <w:r w:rsidRPr="00F95182">
        <w:rPr>
          <w:rFonts w:ascii="Times New Roman" w:hAnsi="Times New Roman" w:cs="Times New Roman"/>
          <w:sz w:val="24"/>
          <w:szCs w:val="24"/>
          <w:bdr w:val="none" w:sz="0" w:space="0" w:color="auto" w:frame="1"/>
        </w:rPr>
        <w:t xml:space="preserve"> a crucial role in the viral life-cycle and is an important drug target</w:t>
      </w:r>
      <w:r w:rsidR="002A4E5B" w:rsidRPr="00F95182">
        <w:rPr>
          <w:rFonts w:ascii="Times New Roman" w:hAnsi="Times New Roman" w:cs="Times New Roman"/>
          <w:sz w:val="24"/>
          <w:szCs w:val="24"/>
          <w:bdr w:val="none" w:sz="0" w:space="0" w:color="auto" w:frame="1"/>
        </w:rPr>
        <w:fldChar w:fldCharType="begin" w:fldLock="1"/>
      </w:r>
      <w:r w:rsidR="002A697C">
        <w:rPr>
          <w:rFonts w:ascii="Times New Roman" w:hAnsi="Times New Roman" w:cs="Times New Roman"/>
          <w:sz w:val="24"/>
          <w:szCs w:val="24"/>
          <w:bdr w:val="none" w:sz="0" w:space="0" w:color="auto" w:frame="1"/>
        </w:rPr>
        <w:instrText>ADDIN CSL_CITATION {"citationItems":[{"id":"ITEM-1","itemData":{"DOI":"10.1016/j.bmc.2020.115860","ISSN":"0968-0896","abstract":"Severe acute respiratory syndrome coronavirus 2 (SARS-CoV-2) brutally perils physical and mental health worldwide. Unavailability of effective anti-viral drug rendering global threat of COVID-19 caused by SARS-CoV-2. In this scenario, viral protease enzymes are crucial targets for drug discovery. This extensive study meticulously focused on two viral proteases such as main protease (Mpro) and papain-like protease (PLpro), those are essential for viral replication. This review provides a detail overview of the targets (Mpro and PLpro) from a structural and medicinal chemistry point of view, together with recently reported protease inhibitors. An insight into the challenges in the development of effective as well as drug like protease inhibitors is discussed. Peptidomimetic and/or covalent coronavirus protease inhibitors possessed potent and selective active site inhibition but compromised in pharmacokinetic parameters to be a drug/drug like molecule. Lead optimization of non-peptidomimetic and/or low molecular weight compounds may be a better option for oral delivery. A masterly combination of adequate pharmacokinetic properties with coronavirus protease activity as well as selectivity will provide potential drug candidates in future. This study is a part of our endeavors which surely dictates medicinal chemistry efforts to discover effective anti-viral agent for this devastating disease.","author":[{"dropping-particle":"","family":"Amin","given":"Sk Abdul","non-dropping-particle":"","parse-names":false,"suffix":""},{"dropping-particle":"","family":"Banerjee","given":"Suvankar","non-dropping-particle":"","parse-names":false,"suffix":""},{"dropping-particle":"","family":"Ghosh","given":"Kalyan","non-dropping-particle":"","parse-names":false,"suffix":""},{"dropping-particle":"","family":"Gayen","given":"Shovanlal","non-dropping-particle":"","parse-names":false,"suffix":""},{"dropping-particle":"","family":"Jha","given":"Tarun","non-dropping-particle":"","parse-names":false,"suffix":""}],"container-title":"Bioorganic &amp; Medicinal Chemistry","id":"ITEM-1","issued":{"date-parts":[["2020","11","6"]]},"language":"eng","page":"115860","publisher":"Elsevier Ltd.","title":"Protease targeted COVID-19 drug discovery and its challenges: Insight into viral main protease (Mpro) and papain-like protease (PLpro) inhibitors","type":"article-journal"},"uris":["http://www.mendeley.com/documents/?uuid=2e7cb098-c4d0-403a-acd2-aab94fed0206"]}],"mendeley":{"formattedCitation":"&lt;sup&gt;5&lt;/sup&gt;","plainTextFormattedCitation":"5","previouslyFormattedCitation":"(Amin &lt;i&gt;et al.&lt;/i&gt;, 2020)"},"properties":{"noteIndex":0},"schema":"https://github.com/citation-style-language/schema/raw/master/csl-citation.json"}</w:instrText>
      </w:r>
      <w:r w:rsidR="002A4E5B" w:rsidRPr="00F95182">
        <w:rPr>
          <w:rFonts w:ascii="Times New Roman" w:hAnsi="Times New Roman" w:cs="Times New Roman"/>
          <w:sz w:val="24"/>
          <w:szCs w:val="24"/>
          <w:bdr w:val="none" w:sz="0" w:space="0" w:color="auto" w:frame="1"/>
        </w:rPr>
        <w:fldChar w:fldCharType="separate"/>
      </w:r>
      <w:r w:rsidR="002A697C" w:rsidRPr="002A697C">
        <w:rPr>
          <w:rFonts w:ascii="Times New Roman" w:hAnsi="Times New Roman" w:cs="Times New Roman"/>
          <w:noProof/>
          <w:sz w:val="24"/>
          <w:szCs w:val="24"/>
          <w:bdr w:val="none" w:sz="0" w:space="0" w:color="auto" w:frame="1"/>
          <w:vertAlign w:val="superscript"/>
        </w:rPr>
        <w:t>5</w:t>
      </w:r>
      <w:r w:rsidR="002A4E5B" w:rsidRPr="00F95182">
        <w:rPr>
          <w:rFonts w:ascii="Times New Roman" w:hAnsi="Times New Roman" w:cs="Times New Roman"/>
          <w:sz w:val="24"/>
          <w:szCs w:val="24"/>
          <w:bdr w:val="none" w:sz="0" w:space="0" w:color="auto" w:frame="1"/>
        </w:rPr>
        <w:fldChar w:fldCharType="end"/>
      </w:r>
      <w:r w:rsidRPr="00F95182">
        <w:rPr>
          <w:rFonts w:ascii="Times New Roman" w:hAnsi="Times New Roman" w:cs="Times New Roman"/>
          <w:sz w:val="24"/>
          <w:szCs w:val="24"/>
          <w:bdr w:val="none" w:sz="0" w:space="0" w:color="auto" w:frame="1"/>
        </w:rPr>
        <w:t>. The homolog of SARS-CoV-2 replicase polyprotein 1ab as detected by NOD in the DrugBank database</w:t>
      </w:r>
      <w:r w:rsidR="0025177D"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is SARS-CoV replicase polyprotein 1ab with 99.</w:t>
      </w:r>
      <w:r w:rsidR="009D0115" w:rsidRPr="00F95182">
        <w:rPr>
          <w:rFonts w:ascii="Times New Roman" w:hAnsi="Times New Roman" w:cs="Times New Roman"/>
          <w:sz w:val="24"/>
          <w:szCs w:val="24"/>
          <w:bdr w:val="none" w:sz="0" w:space="0" w:color="auto" w:frame="1"/>
        </w:rPr>
        <w:t>9</w:t>
      </w:r>
      <w:r w:rsidRPr="00F95182">
        <w:rPr>
          <w:rFonts w:ascii="Times New Roman" w:hAnsi="Times New Roman" w:cs="Times New Roman"/>
          <w:sz w:val="24"/>
          <w:szCs w:val="24"/>
          <w:bdr w:val="none" w:sz="0" w:space="0" w:color="auto" w:frame="1"/>
        </w:rPr>
        <w:t>% alignment coverage for the query sequence.</w:t>
      </w:r>
      <w:r w:rsidRPr="00F95182">
        <w:rPr>
          <w:rFonts w:ascii="Times New Roman" w:hAnsi="Times New Roman" w:cs="Times New Roman"/>
          <w:b/>
          <w:bCs/>
          <w:sz w:val="24"/>
          <w:szCs w:val="24"/>
          <w:bdr w:val="none" w:sz="0" w:space="0" w:color="auto" w:frame="1"/>
        </w:rPr>
        <w:t xml:space="preserve"> </w:t>
      </w:r>
      <w:r w:rsidRPr="00F95182">
        <w:rPr>
          <w:rFonts w:ascii="Times New Roman" w:hAnsi="Times New Roman" w:cs="Times New Roman"/>
          <w:sz w:val="24"/>
          <w:szCs w:val="24"/>
          <w:bdr w:val="none" w:sz="0" w:space="0" w:color="auto" w:frame="1"/>
        </w:rPr>
        <w:t xml:space="preserve">Recently we have reported potential candidates </w:t>
      </w:r>
      <w:r w:rsidR="0025177D" w:rsidRPr="00F95182">
        <w:rPr>
          <w:rFonts w:ascii="Times New Roman" w:hAnsi="Times New Roman" w:cs="Times New Roman"/>
          <w:sz w:val="24"/>
          <w:szCs w:val="24"/>
          <w:bdr w:val="none" w:sz="0" w:space="0" w:color="auto" w:frame="1"/>
        </w:rPr>
        <w:t>that</w:t>
      </w:r>
      <w:r w:rsidRPr="00F95182">
        <w:rPr>
          <w:rFonts w:ascii="Times New Roman" w:hAnsi="Times New Roman" w:cs="Times New Roman"/>
          <w:sz w:val="24"/>
          <w:szCs w:val="24"/>
          <w:bdr w:val="none" w:sz="0" w:space="0" w:color="auto" w:frame="1"/>
        </w:rPr>
        <w:t xml:space="preserve"> can be probed for repurposing against the SARS-CoV-2 main protease</w:t>
      </w:r>
      <w:r w:rsidR="009D0115" w:rsidRPr="00F95182">
        <w:rPr>
          <w:rFonts w:ascii="Times New Roman" w:hAnsi="Times New Roman" w:cs="Times New Roman"/>
          <w:sz w:val="24"/>
          <w:szCs w:val="24"/>
          <w:bdr w:val="none" w:sz="0" w:space="0" w:color="auto" w:frame="1"/>
        </w:rPr>
        <w:t xml:space="preserve"> primarily</w:t>
      </w:r>
      <w:r w:rsidRPr="00F95182">
        <w:rPr>
          <w:rFonts w:ascii="Times New Roman" w:hAnsi="Times New Roman" w:cs="Times New Roman"/>
          <w:sz w:val="24"/>
          <w:szCs w:val="24"/>
          <w:bdr w:val="none" w:sz="0" w:space="0" w:color="auto" w:frame="1"/>
        </w:rPr>
        <w:t xml:space="preserve"> using computational structure</w:t>
      </w:r>
      <w:r w:rsidR="009D0115"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guided approaches</w:t>
      </w:r>
      <w:r w:rsidRPr="00F95182">
        <w:rPr>
          <w:rFonts w:ascii="Times New Roman" w:hAnsi="Times New Roman" w:cs="Times New Roman"/>
          <w:sz w:val="24"/>
          <w:szCs w:val="24"/>
          <w:bdr w:val="none" w:sz="0" w:space="0" w:color="auto" w:frame="1"/>
        </w:rPr>
        <w:fldChar w:fldCharType="begin" w:fldLock="1"/>
      </w:r>
      <w:r w:rsidR="002A697C">
        <w:rPr>
          <w:rFonts w:ascii="Times New Roman" w:hAnsi="Times New Roman" w:cs="Times New Roman"/>
          <w:sz w:val="24"/>
          <w:szCs w:val="24"/>
          <w:bdr w:val="none" w:sz="0" w:space="0" w:color="auto" w:frame="1"/>
        </w:rPr>
        <w:instrText>ADDIN CSL_CITATION {"citationItems":[{"id":"ITEM-1","itemData":{"DOI":"10.1039/D0MO00057D","abstract":"The ongoing global pandemic of COVID-19 has brought life to almost a standstill with the implementation of lockdowns and social distancing as some of the preventive measures in the absence of any approved specific therapeutic interventions. To combat this crisis{,} research communities worldwide are falling back on the existing repertoire of approved/investigational drugs to probe into their anti-coronavirus properties. In this report{,} we describe our unique efforts in identifying potential drugs that could be repurposed against the main protease of SARS-CoV-2 (SARS-CoV-2 Mpro). To achieve this goal{,} we have primarily exploited the principles of ‘neighbourhood behaviour’ in the protein 3D (workflow-I) and chemical 2D structural space (workflow-II) coupled with docking simulations and insights into the possible modes of action of the selected candidates from the available literature. This integrative approach culminated in prioritizing 29 potential repurpose-able agents (20 approved drugs and 9 investigational molecules) against SARS-CoV-2 Mpro. Apart from the approved/investigational anti-viral drugs{,} other notable hits include anti-bacterial{,} anti-inflammatory{,} anti-cancer and anti-coagulant drugs. Our analysis suggests that some of these drugs have the potential to simultaneously modulate the functions of viral proteins and the host response system. Interestingly{,} many of these identified candidates (12 molecules from workflow-I and several molecules{,} belonging to the chemical classes of alkaloids{,} tetracyclines{,} peptidomimetics{,} from workflow-II) are suggested to possess anti-viral properties{,} which is supported by laboratory and clinical data. Furthermore{,} this work opens a new avenue of research to probe into the molecular mechanism of action of many drugs{,} which are known to demonstrate anti-viral activity but are so far not known to target viral proteases.","author":[{"dropping-particle":"","family":"Chakraborti","given":"Sohini","non-dropping-particle":"","parse-names":false,"suffix":""},{"dropping-particle":"","family":"Bheemireddy","given":"Sneha","non-dropping-particle":"","parse-names":false,"suffix":""},{"dropping-particle":"","family":"Srinivasan","given":"Narayanaswamy","non-dropping-particle":"","parse-names":false,"suffix":""}],"container-title":"Mol. Omics","id":"ITEM-1","issued":{"date-parts":[["2020"]]},"page":"-","publisher":"The Royal Society of Chemistry","title":"Repurposing drugs against the main protease of SARS-CoV-2: mechanism-based insights supported by available laboratory and clinical data","type":"article-journal"},"uris":["http://www.mendeley.com/documents/?uuid=7bb58f05-2be7-44de-b008-e00e7debe95e"]}],"mendeley":{"formattedCitation":"&lt;sup&gt;4&lt;/sup&gt;","plainTextFormattedCitation":"4","previouslyFormattedCitation":"(Chakraborti &lt;i&gt;et al.&lt;/i&gt;, 2020)"},"properties":{"noteIndex":0},"schema":"https://github.com/citation-style-language/schema/raw/master/csl-citation.json"}</w:instrText>
      </w:r>
      <w:r w:rsidRPr="00F95182">
        <w:rPr>
          <w:rFonts w:ascii="Times New Roman" w:hAnsi="Times New Roman" w:cs="Times New Roman"/>
          <w:sz w:val="24"/>
          <w:szCs w:val="24"/>
          <w:bdr w:val="none" w:sz="0" w:space="0" w:color="auto" w:frame="1"/>
        </w:rPr>
        <w:fldChar w:fldCharType="separate"/>
      </w:r>
      <w:r w:rsidR="002A697C" w:rsidRPr="002A697C">
        <w:rPr>
          <w:rFonts w:ascii="Times New Roman" w:hAnsi="Times New Roman" w:cs="Times New Roman"/>
          <w:noProof/>
          <w:sz w:val="24"/>
          <w:szCs w:val="24"/>
          <w:bdr w:val="none" w:sz="0" w:space="0" w:color="auto" w:frame="1"/>
          <w:vertAlign w:val="superscript"/>
        </w:rPr>
        <w:t>4</w:t>
      </w:r>
      <w:r w:rsidRPr="00F95182">
        <w:rPr>
          <w:rFonts w:ascii="Times New Roman" w:hAnsi="Times New Roman" w:cs="Times New Roman"/>
          <w:sz w:val="24"/>
          <w:szCs w:val="24"/>
          <w:bdr w:val="none" w:sz="0" w:space="0" w:color="auto" w:frame="1"/>
        </w:rPr>
        <w:fldChar w:fldCharType="end"/>
      </w:r>
      <w:r w:rsidRPr="00F95182">
        <w:rPr>
          <w:rFonts w:ascii="Times New Roman" w:hAnsi="Times New Roman" w:cs="Times New Roman"/>
          <w:sz w:val="24"/>
          <w:szCs w:val="24"/>
          <w:bdr w:val="none" w:sz="0" w:space="0" w:color="auto" w:frame="1"/>
        </w:rPr>
        <w:t>. Interestingly, some of our earlier reported candidates could also be found in the results generated by NOD that employs a sequence-guided approach followed by 2-D chemical similarity search under its MODE-2 operation. The notable</w:t>
      </w:r>
      <w:r w:rsidR="008F5D10" w:rsidRPr="00F95182">
        <w:rPr>
          <w:rFonts w:ascii="Times New Roman" w:hAnsi="Times New Roman" w:cs="Times New Roman"/>
          <w:sz w:val="24"/>
          <w:szCs w:val="24"/>
          <w:bdr w:val="none" w:sz="0" w:space="0" w:color="auto" w:frame="1"/>
        </w:rPr>
        <w:t xml:space="preserve"> hits</w:t>
      </w:r>
      <w:r w:rsidRPr="00F95182">
        <w:rPr>
          <w:rFonts w:ascii="Times New Roman" w:hAnsi="Times New Roman" w:cs="Times New Roman"/>
          <w:sz w:val="24"/>
          <w:szCs w:val="24"/>
          <w:bdr w:val="none" w:sz="0" w:space="0" w:color="auto" w:frame="1"/>
        </w:rPr>
        <w:t xml:space="preserve"> are the vinca alkaloids </w:t>
      </w:r>
      <w:bookmarkStart w:id="3" w:name="_Hlk52276741"/>
      <w:r w:rsidRPr="00F95182">
        <w:rPr>
          <w:rFonts w:ascii="Times New Roman" w:hAnsi="Times New Roman" w:cs="Times New Roman"/>
          <w:sz w:val="24"/>
          <w:szCs w:val="24"/>
          <w:bdr w:val="none" w:sz="0" w:space="0" w:color="auto" w:frame="1"/>
        </w:rPr>
        <w:lastRenderedPageBreak/>
        <w:t>(vinorelbine, vincristine, vindesine</w:t>
      </w:r>
      <w:r w:rsidR="00C66493" w:rsidRPr="00F95182">
        <w:rPr>
          <w:rFonts w:ascii="Times New Roman" w:hAnsi="Times New Roman" w:cs="Times New Roman"/>
          <w:sz w:val="24"/>
          <w:szCs w:val="24"/>
          <w:bdr w:val="none" w:sz="0" w:space="0" w:color="auto" w:frame="1"/>
        </w:rPr>
        <w:t>,</w:t>
      </w:r>
      <w:r w:rsidRPr="00F95182">
        <w:rPr>
          <w:rFonts w:ascii="Times New Roman" w:hAnsi="Times New Roman" w:cs="Times New Roman"/>
          <w:sz w:val="24"/>
          <w:szCs w:val="24"/>
          <w:bdr w:val="none" w:sz="0" w:space="0" w:color="auto" w:frame="1"/>
        </w:rPr>
        <w:t xml:space="preserve"> etc.) and known antiviral agent, baloxavir marboxil </w:t>
      </w:r>
      <w:bookmarkEnd w:id="3"/>
      <w:r w:rsidRPr="00F95182">
        <w:rPr>
          <w:rFonts w:ascii="Times New Roman" w:hAnsi="Times New Roman" w:cs="Times New Roman"/>
          <w:sz w:val="24"/>
          <w:szCs w:val="24"/>
          <w:bdr w:val="none" w:sz="0" w:space="0" w:color="auto" w:frame="1"/>
        </w:rPr>
        <w:t>(Fig.S</w:t>
      </w:r>
      <w:r w:rsidR="002A697C">
        <w:rPr>
          <w:rFonts w:ascii="Times New Roman" w:hAnsi="Times New Roman" w:cs="Times New Roman"/>
          <w:sz w:val="24"/>
          <w:szCs w:val="24"/>
          <w:bdr w:val="none" w:sz="0" w:space="0" w:color="auto" w:frame="1"/>
        </w:rPr>
        <w:t>2</w:t>
      </w:r>
      <w:r w:rsidRPr="00F95182">
        <w:rPr>
          <w:rFonts w:ascii="Times New Roman" w:hAnsi="Times New Roman" w:cs="Times New Roman"/>
          <w:sz w:val="24"/>
          <w:szCs w:val="24"/>
          <w:bdr w:val="none" w:sz="0" w:space="0" w:color="auto" w:frame="1"/>
        </w:rPr>
        <w:t>).</w:t>
      </w:r>
    </w:p>
    <w:p w14:paraId="43CD1576" w14:textId="0288AAE7" w:rsidR="00266ECD" w:rsidRPr="008F5D10" w:rsidRDefault="00E22137" w:rsidP="00C66493">
      <w:pPr>
        <w:rPr>
          <w:rFonts w:ascii="Times New Roman" w:hAnsi="Times New Roman" w:cs="Times New Roman"/>
          <w:sz w:val="24"/>
          <w:szCs w:val="24"/>
          <w:bdr w:val="none" w:sz="0" w:space="0" w:color="auto" w:frame="1"/>
        </w:rPr>
      </w:pPr>
      <w:r w:rsidRPr="008F5D10">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93B2DAE" wp14:editId="29B2EB8B">
                <wp:simplePos x="0" y="0"/>
                <wp:positionH relativeFrom="margin">
                  <wp:posOffset>-266700</wp:posOffset>
                </wp:positionH>
                <wp:positionV relativeFrom="paragraph">
                  <wp:posOffset>3028950</wp:posOffset>
                </wp:positionV>
                <wp:extent cx="6470650" cy="1104900"/>
                <wp:effectExtent l="0" t="0" r="6350" b="0"/>
                <wp:wrapTopAndBottom/>
                <wp:docPr id="13" name="Text Box 13"/>
                <wp:cNvGraphicFramePr/>
                <a:graphic xmlns:a="http://schemas.openxmlformats.org/drawingml/2006/main">
                  <a:graphicData uri="http://schemas.microsoft.com/office/word/2010/wordprocessingShape">
                    <wps:wsp>
                      <wps:cNvSpPr txBox="1"/>
                      <wps:spPr>
                        <a:xfrm>
                          <a:off x="0" y="0"/>
                          <a:ext cx="6470650" cy="1104900"/>
                        </a:xfrm>
                        <a:prstGeom prst="rect">
                          <a:avLst/>
                        </a:prstGeom>
                        <a:solidFill>
                          <a:prstClr val="white"/>
                        </a:solidFill>
                        <a:ln>
                          <a:noFill/>
                        </a:ln>
                      </wps:spPr>
                      <wps:txbx>
                        <w:txbxContent>
                          <w:p w14:paraId="466485E2" w14:textId="4950ADAA" w:rsidR="002A697C" w:rsidRPr="00266ECD" w:rsidRDefault="002A697C" w:rsidP="004A4826">
                            <w:pPr>
                              <w:pStyle w:val="Caption"/>
                              <w:jc w:val="both"/>
                              <w:rPr>
                                <w:rFonts w:ascii="Times New Roman" w:hAnsi="Times New Roman" w:cs="Times New Roman"/>
                                <w:b/>
                                <w:bCs/>
                                <w:noProof/>
                                <w:color w:val="auto"/>
                                <w:sz w:val="24"/>
                                <w:szCs w:val="24"/>
                                <w:bdr w:val="none" w:sz="0" w:space="0" w:color="auto" w:frame="1"/>
                              </w:rPr>
                            </w:pPr>
                            <w:r w:rsidRPr="00266ECD">
                              <w:rPr>
                                <w:rFonts w:ascii="Times New Roman" w:hAnsi="Times New Roman" w:cs="Times New Roman"/>
                                <w:b/>
                                <w:bCs/>
                                <w:color w:val="auto"/>
                                <w:sz w:val="24"/>
                                <w:szCs w:val="24"/>
                              </w:rPr>
                              <w:t>Fig. S</w:t>
                            </w:r>
                            <w:r>
                              <w:rPr>
                                <w:rFonts w:ascii="Times New Roman" w:hAnsi="Times New Roman" w:cs="Times New Roman"/>
                                <w:b/>
                                <w:bCs/>
                                <w:color w:val="auto"/>
                                <w:sz w:val="24"/>
                                <w:szCs w:val="24"/>
                              </w:rPr>
                              <w:t>2</w:t>
                            </w:r>
                            <w:r w:rsidRPr="00266ECD">
                              <w:rPr>
                                <w:rFonts w:ascii="Times New Roman" w:hAnsi="Times New Roman" w:cs="Times New Roman"/>
                                <w:b/>
                                <w:bCs/>
                                <w:color w:val="auto"/>
                                <w:sz w:val="24"/>
                                <w:szCs w:val="24"/>
                              </w:rPr>
                              <w:t xml:space="preserve">: Snapshot of results from SARS-CoV-2 MODE-2 job. </w:t>
                            </w:r>
                            <w:r w:rsidRPr="00266ECD">
                              <w:rPr>
                                <w:rFonts w:ascii="Times New Roman" w:hAnsi="Times New Roman" w:cs="Times New Roman"/>
                                <w:color w:val="auto"/>
                                <w:sz w:val="24"/>
                                <w:szCs w:val="24"/>
                              </w:rPr>
                              <w:t xml:space="preserve">The column highlighted within the red rectangle contains the secondary candidates obtained from similarity search. </w:t>
                            </w:r>
                            <w:r>
                              <w:rPr>
                                <w:rFonts w:ascii="Times New Roman" w:hAnsi="Times New Roman" w:cs="Times New Roman"/>
                                <w:color w:val="auto"/>
                                <w:sz w:val="24"/>
                                <w:szCs w:val="24"/>
                              </w:rPr>
                              <w:t>S</w:t>
                            </w:r>
                            <w:r w:rsidRPr="00266ECD">
                              <w:rPr>
                                <w:rFonts w:ascii="Times New Roman" w:hAnsi="Times New Roman" w:cs="Times New Roman"/>
                                <w:color w:val="auto"/>
                                <w:sz w:val="24"/>
                                <w:szCs w:val="24"/>
                              </w:rPr>
                              <w:t xml:space="preserve">everal vinca alkaloids </w:t>
                            </w:r>
                            <w:r w:rsidRPr="00266ECD">
                              <w:rPr>
                                <w:rFonts w:ascii="Times New Roman" w:hAnsi="Times New Roman" w:cs="Times New Roman"/>
                                <w:color w:val="auto"/>
                                <w:sz w:val="24"/>
                                <w:szCs w:val="24"/>
                                <w:bdr w:val="none" w:sz="0" w:space="0" w:color="auto" w:frame="1"/>
                              </w:rPr>
                              <w:t xml:space="preserve">(like vinorelbine, vincristine, vindesine etc.) and known antiviral agent </w:t>
                            </w:r>
                            <w:r>
                              <w:rPr>
                                <w:rFonts w:ascii="Times New Roman" w:hAnsi="Times New Roman" w:cs="Times New Roman"/>
                                <w:color w:val="auto"/>
                                <w:sz w:val="24"/>
                                <w:szCs w:val="24"/>
                                <w:bdr w:val="none" w:sz="0" w:space="0" w:color="auto" w:frame="1"/>
                              </w:rPr>
                              <w:t>are reported</w:t>
                            </w:r>
                            <w:r w:rsidRPr="00266ECD">
                              <w:rPr>
                                <w:rFonts w:ascii="Times New Roman" w:hAnsi="Times New Roman" w:cs="Times New Roman"/>
                                <w:color w:val="auto"/>
                                <w:sz w:val="24"/>
                                <w:szCs w:val="24"/>
                                <w:bdr w:val="none" w:sz="0" w:space="0" w:color="auto" w:frame="1"/>
                              </w:rPr>
                              <w:t xml:space="preserve"> by NOD </w:t>
                            </w:r>
                            <w:r>
                              <w:rPr>
                                <w:rFonts w:ascii="Times New Roman" w:hAnsi="Times New Roman" w:cs="Times New Roman"/>
                                <w:color w:val="auto"/>
                                <w:sz w:val="24"/>
                                <w:szCs w:val="24"/>
                                <w:bdr w:val="none" w:sz="0" w:space="0" w:color="auto" w:frame="1"/>
                              </w:rPr>
                              <w:t>as</w:t>
                            </w:r>
                            <w:r w:rsidRPr="00266ECD">
                              <w:rPr>
                                <w:rFonts w:ascii="Times New Roman" w:hAnsi="Times New Roman" w:cs="Times New Roman"/>
                                <w:color w:val="auto"/>
                                <w:sz w:val="24"/>
                                <w:szCs w:val="24"/>
                                <w:bdr w:val="none" w:sz="0" w:space="0" w:color="auto" w:frame="1"/>
                              </w:rPr>
                              <w:t xml:space="preserve"> discussed in the text. Full result for this job could be viewed at</w:t>
                            </w:r>
                            <w:r>
                              <w:rPr>
                                <w:rFonts w:ascii="Times New Roman" w:hAnsi="Times New Roman" w:cs="Times New Roman"/>
                                <w:color w:val="auto"/>
                                <w:sz w:val="24"/>
                                <w:szCs w:val="24"/>
                                <w:bdr w:val="none" w:sz="0" w:space="0" w:color="auto" w:frame="1"/>
                              </w:rPr>
                              <w:t xml:space="preserve"> </w:t>
                            </w:r>
                            <w:r w:rsidRPr="00266ECD">
                              <w:rPr>
                                <w:rFonts w:ascii="Times New Roman" w:hAnsi="Times New Roman" w:cs="Times New Roman"/>
                                <w:color w:val="auto"/>
                                <w:sz w:val="24"/>
                                <w:szCs w:val="24"/>
                                <w:bdr w:val="none" w:sz="0" w:space="0" w:color="auto" w:frame="1"/>
                              </w:rPr>
                              <w:t>http://pauling.mbu.iisc.ac.in/NOD/NOD/webpages/archives.html.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2DAE" id="Text Box 13" o:spid="_x0000_s1028" type="#_x0000_t202" style="position:absolute;margin-left:-21pt;margin-top:238.5pt;width:509.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" stroked="f">
                <v:textbox inset="0,0,0,0">
                  <w:txbxContent>
                    <w:p w14:paraId="466485E2" w14:textId="4950ADAA" w:rsidR="002A697C" w:rsidRPr="00266ECD" w:rsidRDefault="002A697C" w:rsidP="004A4826">
                      <w:pPr>
                        <w:pStyle w:val="Caption"/>
                        <w:jc w:val="both"/>
                        <w:rPr>
                          <w:rFonts w:ascii="Times New Roman" w:hAnsi="Times New Roman" w:cs="Times New Roman"/>
                          <w:b/>
                          <w:bCs/>
                          <w:noProof/>
                          <w:color w:val="auto"/>
                          <w:sz w:val="24"/>
                          <w:szCs w:val="24"/>
                          <w:bdr w:val="none" w:sz="0" w:space="0" w:color="auto" w:frame="1"/>
                        </w:rPr>
                      </w:pPr>
                      <w:r w:rsidRPr="00266ECD">
                        <w:rPr>
                          <w:rFonts w:ascii="Times New Roman" w:hAnsi="Times New Roman" w:cs="Times New Roman"/>
                          <w:b/>
                          <w:bCs/>
                          <w:color w:val="auto"/>
                          <w:sz w:val="24"/>
                          <w:szCs w:val="24"/>
                        </w:rPr>
                        <w:t>Fig. S</w:t>
                      </w:r>
                      <w:r>
                        <w:rPr>
                          <w:rFonts w:ascii="Times New Roman" w:hAnsi="Times New Roman" w:cs="Times New Roman"/>
                          <w:b/>
                          <w:bCs/>
                          <w:color w:val="auto"/>
                          <w:sz w:val="24"/>
                          <w:szCs w:val="24"/>
                        </w:rPr>
                        <w:t>2</w:t>
                      </w:r>
                      <w:r w:rsidRPr="00266ECD">
                        <w:rPr>
                          <w:rFonts w:ascii="Times New Roman" w:hAnsi="Times New Roman" w:cs="Times New Roman"/>
                          <w:b/>
                          <w:bCs/>
                          <w:color w:val="auto"/>
                          <w:sz w:val="24"/>
                          <w:szCs w:val="24"/>
                        </w:rPr>
                        <w:t xml:space="preserve">: Snapshot of results from SARS-CoV-2 MODE-2 job. </w:t>
                      </w:r>
                      <w:r w:rsidRPr="00266ECD">
                        <w:rPr>
                          <w:rFonts w:ascii="Times New Roman" w:hAnsi="Times New Roman" w:cs="Times New Roman"/>
                          <w:color w:val="auto"/>
                          <w:sz w:val="24"/>
                          <w:szCs w:val="24"/>
                        </w:rPr>
                        <w:t xml:space="preserve">The column highlighted within the red rectangle contains the secondary candidates obtained from similarity search. </w:t>
                      </w:r>
                      <w:r>
                        <w:rPr>
                          <w:rFonts w:ascii="Times New Roman" w:hAnsi="Times New Roman" w:cs="Times New Roman"/>
                          <w:color w:val="auto"/>
                          <w:sz w:val="24"/>
                          <w:szCs w:val="24"/>
                        </w:rPr>
                        <w:t>S</w:t>
                      </w:r>
                      <w:r w:rsidRPr="00266ECD">
                        <w:rPr>
                          <w:rFonts w:ascii="Times New Roman" w:hAnsi="Times New Roman" w:cs="Times New Roman"/>
                          <w:color w:val="auto"/>
                          <w:sz w:val="24"/>
                          <w:szCs w:val="24"/>
                        </w:rPr>
                        <w:t xml:space="preserve">everal vinca alkaloids </w:t>
                      </w:r>
                      <w:r w:rsidRPr="00266ECD">
                        <w:rPr>
                          <w:rFonts w:ascii="Times New Roman" w:hAnsi="Times New Roman" w:cs="Times New Roman"/>
                          <w:color w:val="auto"/>
                          <w:sz w:val="24"/>
                          <w:szCs w:val="24"/>
                          <w:bdr w:val="none" w:sz="0" w:space="0" w:color="auto" w:frame="1"/>
                        </w:rPr>
                        <w:t xml:space="preserve">(like vinorelbine, vincristine, vindesine etc.) and known antiviral agent </w:t>
                      </w:r>
                      <w:r>
                        <w:rPr>
                          <w:rFonts w:ascii="Times New Roman" w:hAnsi="Times New Roman" w:cs="Times New Roman"/>
                          <w:color w:val="auto"/>
                          <w:sz w:val="24"/>
                          <w:szCs w:val="24"/>
                          <w:bdr w:val="none" w:sz="0" w:space="0" w:color="auto" w:frame="1"/>
                        </w:rPr>
                        <w:t>are reported</w:t>
                      </w:r>
                      <w:r w:rsidRPr="00266ECD">
                        <w:rPr>
                          <w:rFonts w:ascii="Times New Roman" w:hAnsi="Times New Roman" w:cs="Times New Roman"/>
                          <w:color w:val="auto"/>
                          <w:sz w:val="24"/>
                          <w:szCs w:val="24"/>
                          <w:bdr w:val="none" w:sz="0" w:space="0" w:color="auto" w:frame="1"/>
                        </w:rPr>
                        <w:t xml:space="preserve"> by NOD </w:t>
                      </w:r>
                      <w:r>
                        <w:rPr>
                          <w:rFonts w:ascii="Times New Roman" w:hAnsi="Times New Roman" w:cs="Times New Roman"/>
                          <w:color w:val="auto"/>
                          <w:sz w:val="24"/>
                          <w:szCs w:val="24"/>
                          <w:bdr w:val="none" w:sz="0" w:space="0" w:color="auto" w:frame="1"/>
                        </w:rPr>
                        <w:t>as</w:t>
                      </w:r>
                      <w:r w:rsidRPr="00266ECD">
                        <w:rPr>
                          <w:rFonts w:ascii="Times New Roman" w:hAnsi="Times New Roman" w:cs="Times New Roman"/>
                          <w:color w:val="auto"/>
                          <w:sz w:val="24"/>
                          <w:szCs w:val="24"/>
                          <w:bdr w:val="none" w:sz="0" w:space="0" w:color="auto" w:frame="1"/>
                        </w:rPr>
                        <w:t xml:space="preserve"> discussed in the text. Full result for this job could be viewed at</w:t>
                      </w:r>
                      <w:r>
                        <w:rPr>
                          <w:rFonts w:ascii="Times New Roman" w:hAnsi="Times New Roman" w:cs="Times New Roman"/>
                          <w:color w:val="auto"/>
                          <w:sz w:val="24"/>
                          <w:szCs w:val="24"/>
                          <w:bdr w:val="none" w:sz="0" w:space="0" w:color="auto" w:frame="1"/>
                        </w:rPr>
                        <w:t xml:space="preserve"> </w:t>
                      </w:r>
                      <w:r w:rsidRPr="00266ECD">
                        <w:rPr>
                          <w:rFonts w:ascii="Times New Roman" w:hAnsi="Times New Roman" w:cs="Times New Roman"/>
                          <w:color w:val="auto"/>
                          <w:sz w:val="24"/>
                          <w:szCs w:val="24"/>
                          <w:bdr w:val="none" w:sz="0" w:space="0" w:color="auto" w:frame="1"/>
                        </w:rPr>
                        <w:t>http://pauling.mbu.iisc.ac.in/NOD/NOD/webpages/archives.html.</w:t>
                      </w:r>
                    </w:p>
                  </w:txbxContent>
                </v:textbox>
                <w10:wrap type="topAndBottom" anchorx="margin"/>
              </v:shape>
            </w:pict>
          </mc:Fallback>
        </mc:AlternateContent>
      </w:r>
      <w:r w:rsidRPr="008F5D10">
        <w:rPr>
          <w:noProof/>
          <w:lang w:val="en-US"/>
        </w:rPr>
        <w:drawing>
          <wp:anchor distT="0" distB="0" distL="114300" distR="114300" simplePos="0" relativeHeight="251672576" behindDoc="0" locked="0" layoutInCell="1" allowOverlap="1" wp14:anchorId="06BCFF31" wp14:editId="067DEF33">
            <wp:simplePos x="0" y="0"/>
            <wp:positionH relativeFrom="margin">
              <wp:posOffset>-323850</wp:posOffset>
            </wp:positionH>
            <wp:positionV relativeFrom="paragraph">
              <wp:posOffset>0</wp:posOffset>
            </wp:positionV>
            <wp:extent cx="6494780" cy="289560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478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39E29" w14:textId="77777777" w:rsidR="002A697C" w:rsidRPr="008F5D10" w:rsidRDefault="00456D05">
      <w:pPr>
        <w:rPr>
          <w:rFonts w:ascii="Times New Roman" w:hAnsi="Times New Roman" w:cs="Times New Roman"/>
          <w:b/>
          <w:bCs/>
          <w:sz w:val="24"/>
          <w:szCs w:val="24"/>
        </w:rPr>
      </w:pPr>
      <w:r w:rsidRPr="008F5D10">
        <w:rPr>
          <w:rFonts w:ascii="Times New Roman" w:hAnsi="Times New Roman" w:cs="Times New Roman"/>
          <w:b/>
          <w:bCs/>
          <w:sz w:val="24"/>
          <w:szCs w:val="24"/>
        </w:rPr>
        <w:br w:type="page"/>
      </w:r>
    </w:p>
    <w:p w14:paraId="08D64125" w14:textId="41CF1FD9" w:rsidR="009557CF" w:rsidRPr="009557CF" w:rsidRDefault="009557CF" w:rsidP="00972D7C">
      <w:pPr>
        <w:spacing w:line="480" w:lineRule="auto"/>
        <w:jc w:val="both"/>
        <w:rPr>
          <w:rFonts w:ascii="Times New Roman" w:hAnsi="Times New Roman" w:cs="Times New Roman"/>
          <w:noProof/>
          <w:sz w:val="24"/>
          <w:szCs w:val="24"/>
          <w:bdr w:val="none" w:sz="0" w:space="0" w:color="auto" w:frame="1"/>
        </w:rPr>
      </w:pPr>
      <w:r w:rsidRPr="009557CF">
        <w:rPr>
          <w:rFonts w:ascii="Times New Roman" w:hAnsi="Times New Roman" w:cs="Times New Roman"/>
          <w:noProof/>
          <w:sz w:val="24"/>
          <w:szCs w:val="24"/>
          <w:bdr w:val="none" w:sz="0" w:space="0" w:color="auto" w:frame="1"/>
        </w:rPr>
        <w:lastRenderedPageBreak/>
        <w:t>P.S. : Apart from the references cited in the text of the supplementary information, the list below also includes all the references cited in the supplementary tables S1 and S2</w:t>
      </w:r>
      <w:r w:rsidR="00EF7E90">
        <w:rPr>
          <w:rFonts w:ascii="Times New Roman" w:hAnsi="Times New Roman" w:cs="Times New Roman"/>
          <w:noProof/>
          <w:sz w:val="24"/>
          <w:szCs w:val="24"/>
          <w:bdr w:val="none" w:sz="0" w:space="0" w:color="auto" w:frame="1"/>
        </w:rPr>
        <w:t xml:space="preserve"> (.xlsx files)</w:t>
      </w:r>
      <w:r w:rsidRPr="009557CF">
        <w:rPr>
          <w:rFonts w:ascii="Times New Roman" w:hAnsi="Times New Roman" w:cs="Times New Roman"/>
          <w:noProof/>
          <w:sz w:val="24"/>
          <w:szCs w:val="24"/>
          <w:bdr w:val="none" w:sz="0" w:space="0" w:color="auto" w:frame="1"/>
        </w:rPr>
        <w:t>.</w:t>
      </w:r>
    </w:p>
    <w:p w14:paraId="1839A770" w14:textId="044FEA25" w:rsidR="005E146F" w:rsidRPr="008F5D10" w:rsidRDefault="0004409A" w:rsidP="00972D7C">
      <w:pPr>
        <w:spacing w:line="480" w:lineRule="auto"/>
        <w:jc w:val="both"/>
        <w:rPr>
          <w:rFonts w:ascii="Times New Roman" w:hAnsi="Times New Roman" w:cs="Times New Roman"/>
          <w:b/>
          <w:bCs/>
          <w:noProof/>
          <w:sz w:val="24"/>
          <w:szCs w:val="24"/>
          <w:bdr w:val="none" w:sz="0" w:space="0" w:color="auto" w:frame="1"/>
        </w:rPr>
      </w:pPr>
      <w:r w:rsidRPr="008F5D10">
        <w:rPr>
          <w:rFonts w:ascii="Times New Roman" w:hAnsi="Times New Roman" w:cs="Times New Roman"/>
          <w:b/>
          <w:bCs/>
          <w:noProof/>
          <w:sz w:val="24"/>
          <w:szCs w:val="24"/>
          <w:bdr w:val="none" w:sz="0" w:space="0" w:color="auto" w:frame="1"/>
        </w:rPr>
        <w:t>References</w:t>
      </w:r>
    </w:p>
    <w:p w14:paraId="648D483C" w14:textId="6010780D" w:rsidR="002A697C" w:rsidRPr="002A697C" w:rsidRDefault="00F05CE6"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8F5D10">
        <w:rPr>
          <w:rFonts w:ascii="Times New Roman" w:hAnsi="Times New Roman" w:cs="Times New Roman"/>
          <w:sz w:val="24"/>
          <w:szCs w:val="24"/>
        </w:rPr>
        <w:fldChar w:fldCharType="begin" w:fldLock="1"/>
      </w:r>
      <w:r w:rsidRPr="008F5D10">
        <w:rPr>
          <w:rFonts w:ascii="Times New Roman" w:hAnsi="Times New Roman" w:cs="Times New Roman"/>
          <w:sz w:val="24"/>
          <w:szCs w:val="24"/>
        </w:rPr>
        <w:instrText xml:space="preserve">ADDIN Mendeley Bibliography CSL_BIBLIOGRAPHY </w:instrText>
      </w:r>
      <w:r w:rsidRPr="008F5D10">
        <w:rPr>
          <w:rFonts w:ascii="Times New Roman" w:hAnsi="Times New Roman" w:cs="Times New Roman"/>
          <w:sz w:val="24"/>
          <w:szCs w:val="24"/>
        </w:rPr>
        <w:fldChar w:fldCharType="separate"/>
      </w:r>
      <w:r w:rsidR="002A697C" w:rsidRPr="002A697C">
        <w:rPr>
          <w:rFonts w:ascii="Times New Roman" w:hAnsi="Times New Roman" w:cs="Times New Roman"/>
          <w:noProof/>
          <w:sz w:val="24"/>
          <w:szCs w:val="24"/>
        </w:rPr>
        <w:t>1.</w:t>
      </w:r>
      <w:r w:rsidR="002A697C" w:rsidRPr="002A697C">
        <w:rPr>
          <w:rFonts w:ascii="Times New Roman" w:hAnsi="Times New Roman" w:cs="Times New Roman"/>
          <w:noProof/>
          <w:sz w:val="24"/>
          <w:szCs w:val="24"/>
        </w:rPr>
        <w:tab/>
        <w:t xml:space="preserve">Consortium, T. U. UniProt: a worldwide hub of protein knowledge. </w:t>
      </w:r>
      <w:r w:rsidR="002A697C" w:rsidRPr="002A697C">
        <w:rPr>
          <w:rFonts w:ascii="Times New Roman" w:hAnsi="Times New Roman" w:cs="Times New Roman"/>
          <w:i/>
          <w:iCs/>
          <w:noProof/>
          <w:sz w:val="24"/>
          <w:szCs w:val="24"/>
        </w:rPr>
        <w:t>Nucleic Acids Res.</w:t>
      </w:r>
      <w:r w:rsidR="002A697C" w:rsidRPr="002A697C">
        <w:rPr>
          <w:rFonts w:ascii="Times New Roman" w:hAnsi="Times New Roman" w:cs="Times New Roman"/>
          <w:noProof/>
          <w:sz w:val="24"/>
          <w:szCs w:val="24"/>
        </w:rPr>
        <w:t xml:space="preserve"> </w:t>
      </w:r>
      <w:r w:rsidR="002A697C" w:rsidRPr="002A697C">
        <w:rPr>
          <w:rFonts w:ascii="Times New Roman" w:hAnsi="Times New Roman" w:cs="Times New Roman"/>
          <w:b/>
          <w:bCs/>
          <w:noProof/>
          <w:sz w:val="24"/>
          <w:szCs w:val="24"/>
        </w:rPr>
        <w:t>47</w:t>
      </w:r>
      <w:r w:rsidR="002A697C" w:rsidRPr="002A697C">
        <w:rPr>
          <w:rFonts w:ascii="Times New Roman" w:hAnsi="Times New Roman" w:cs="Times New Roman"/>
          <w:noProof/>
          <w:sz w:val="24"/>
          <w:szCs w:val="24"/>
        </w:rPr>
        <w:t>, D506–D515 (2018).</w:t>
      </w:r>
    </w:p>
    <w:p w14:paraId="1B191A7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w:t>
      </w:r>
      <w:r w:rsidRPr="002A697C">
        <w:rPr>
          <w:rFonts w:ascii="Times New Roman" w:hAnsi="Times New Roman" w:cs="Times New Roman"/>
          <w:noProof/>
          <w:sz w:val="24"/>
          <w:szCs w:val="24"/>
        </w:rPr>
        <w:tab/>
        <w:t xml:space="preserve">Wang, Y.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Remdesivir in adults with severe COVID-19: a randomised, double-blind, placebo-controlled, multicentre trial. </w:t>
      </w:r>
      <w:r w:rsidRPr="002A697C">
        <w:rPr>
          <w:rFonts w:ascii="Times New Roman" w:hAnsi="Times New Roman" w:cs="Times New Roman"/>
          <w:i/>
          <w:iCs/>
          <w:noProof/>
          <w:sz w:val="24"/>
          <w:szCs w:val="24"/>
        </w:rPr>
        <w:t>Lancet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395</w:t>
      </w:r>
      <w:r w:rsidRPr="002A697C">
        <w:rPr>
          <w:rFonts w:ascii="Times New Roman" w:hAnsi="Times New Roman" w:cs="Times New Roman"/>
          <w:noProof/>
          <w:sz w:val="24"/>
          <w:szCs w:val="24"/>
        </w:rPr>
        <w:t>, 1569–1578 (2020).</w:t>
      </w:r>
    </w:p>
    <w:p w14:paraId="2D18F39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w:t>
      </w:r>
      <w:r w:rsidRPr="002A697C">
        <w:rPr>
          <w:rFonts w:ascii="Times New Roman" w:hAnsi="Times New Roman" w:cs="Times New Roman"/>
          <w:noProof/>
          <w:sz w:val="24"/>
          <w:szCs w:val="24"/>
        </w:rPr>
        <w:tab/>
        <w:t xml:space="preserve">Amirian, E. S. &amp; Levy, J. K. Current knowledge about the antivirals remdesivir (GS-5734) and GS-441524 as therapeutic options for coronaviruses. </w:t>
      </w:r>
      <w:r w:rsidRPr="002A697C">
        <w:rPr>
          <w:rFonts w:ascii="Times New Roman" w:hAnsi="Times New Roman" w:cs="Times New Roman"/>
          <w:i/>
          <w:iCs/>
          <w:noProof/>
          <w:sz w:val="24"/>
          <w:szCs w:val="24"/>
        </w:rPr>
        <w:t>One Heal.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9</w:t>
      </w:r>
      <w:r w:rsidRPr="002A697C">
        <w:rPr>
          <w:rFonts w:ascii="Times New Roman" w:hAnsi="Times New Roman" w:cs="Times New Roman"/>
          <w:noProof/>
          <w:sz w:val="24"/>
          <w:szCs w:val="24"/>
        </w:rPr>
        <w:t>, 100128 (2020).</w:t>
      </w:r>
    </w:p>
    <w:p w14:paraId="3145AFB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w:t>
      </w:r>
      <w:r w:rsidRPr="002A697C">
        <w:rPr>
          <w:rFonts w:ascii="Times New Roman" w:hAnsi="Times New Roman" w:cs="Times New Roman"/>
          <w:noProof/>
          <w:sz w:val="24"/>
          <w:szCs w:val="24"/>
        </w:rPr>
        <w:tab/>
        <w:t xml:space="preserve">Chakraborti, S., Bheemireddy, S. &amp; Srinivasan, N. Repurposing drugs against the main protease of SARS-CoV-2: mechanism-based insights supported by available laboratory and clinical data. </w:t>
      </w:r>
      <w:r w:rsidRPr="002A697C">
        <w:rPr>
          <w:rFonts w:ascii="Times New Roman" w:hAnsi="Times New Roman" w:cs="Times New Roman"/>
          <w:i/>
          <w:iCs/>
          <w:noProof/>
          <w:sz w:val="24"/>
          <w:szCs w:val="24"/>
        </w:rPr>
        <w:t>Mol. Omi.</w:t>
      </w:r>
      <w:r w:rsidRPr="002A697C">
        <w:rPr>
          <w:rFonts w:ascii="Times New Roman" w:hAnsi="Times New Roman" w:cs="Times New Roman"/>
          <w:noProof/>
          <w:sz w:val="24"/>
          <w:szCs w:val="24"/>
        </w:rPr>
        <w:t xml:space="preserve"> (2020) doi:10.1039/D0MO00057D.</w:t>
      </w:r>
    </w:p>
    <w:p w14:paraId="5972BA5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w:t>
      </w:r>
      <w:r w:rsidRPr="002A697C">
        <w:rPr>
          <w:rFonts w:ascii="Times New Roman" w:hAnsi="Times New Roman" w:cs="Times New Roman"/>
          <w:noProof/>
          <w:sz w:val="24"/>
          <w:szCs w:val="24"/>
        </w:rPr>
        <w:tab/>
        <w:t xml:space="preserve">Amin, S. A., Banerjee, S., Ghosh, K., Gayen, S. &amp; Jha, T. Protease targeted COVID-19 drug discovery and its challenges: Insight into viral main protease (Mpro) and papain-like protease (PLpro) inhibitors. </w:t>
      </w:r>
      <w:r w:rsidRPr="002A697C">
        <w:rPr>
          <w:rFonts w:ascii="Times New Roman" w:hAnsi="Times New Roman" w:cs="Times New Roman"/>
          <w:i/>
          <w:iCs/>
          <w:noProof/>
          <w:sz w:val="24"/>
          <w:szCs w:val="24"/>
        </w:rPr>
        <w:t>Bioorg. Med. Chem.</w:t>
      </w:r>
      <w:r w:rsidRPr="002A697C">
        <w:rPr>
          <w:rFonts w:ascii="Times New Roman" w:hAnsi="Times New Roman" w:cs="Times New Roman"/>
          <w:noProof/>
          <w:sz w:val="24"/>
          <w:szCs w:val="24"/>
        </w:rPr>
        <w:t xml:space="preserve"> 115860 (2020) doi:10.1016/j.bmc.2020.115860.</w:t>
      </w:r>
    </w:p>
    <w:p w14:paraId="2164C5E0"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w:t>
      </w:r>
      <w:r w:rsidRPr="002A697C">
        <w:rPr>
          <w:rFonts w:ascii="Times New Roman" w:hAnsi="Times New Roman" w:cs="Times New Roman"/>
          <w:noProof/>
          <w:sz w:val="24"/>
          <w:szCs w:val="24"/>
        </w:rPr>
        <w:tab/>
        <w:t xml:space="preserve">Maddix, D. S., Tallian, K. B. &amp; Mead, P. S. Rifabutin: a review with emphasis on its role in the prevention of disseminated  Mycobacterium avium complex infection. </w:t>
      </w:r>
      <w:r w:rsidRPr="002A697C">
        <w:rPr>
          <w:rFonts w:ascii="Times New Roman" w:hAnsi="Times New Roman" w:cs="Times New Roman"/>
          <w:i/>
          <w:iCs/>
          <w:noProof/>
          <w:sz w:val="24"/>
          <w:szCs w:val="24"/>
        </w:rPr>
        <w:t>Ann. Pharmacother.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28</w:t>
      </w:r>
      <w:r w:rsidRPr="002A697C">
        <w:rPr>
          <w:rFonts w:ascii="Times New Roman" w:hAnsi="Times New Roman" w:cs="Times New Roman"/>
          <w:noProof/>
          <w:sz w:val="24"/>
          <w:szCs w:val="24"/>
        </w:rPr>
        <w:t>, 1250–1254 (1994).</w:t>
      </w:r>
    </w:p>
    <w:p w14:paraId="3207E36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w:t>
      </w:r>
      <w:r w:rsidRPr="002A697C">
        <w:rPr>
          <w:rFonts w:ascii="Times New Roman" w:hAnsi="Times New Roman" w:cs="Times New Roman"/>
          <w:noProof/>
          <w:sz w:val="24"/>
          <w:szCs w:val="24"/>
        </w:rPr>
        <w:tab/>
        <w:t xml:space="preserve">Floss, H. G. &amp; Yu, T.-W. Rifamycin-mode of action, resistance, and biosynthesis. </w:t>
      </w:r>
      <w:r w:rsidRPr="002A697C">
        <w:rPr>
          <w:rFonts w:ascii="Times New Roman" w:hAnsi="Times New Roman" w:cs="Times New Roman"/>
          <w:i/>
          <w:iCs/>
          <w:noProof/>
          <w:sz w:val="24"/>
          <w:szCs w:val="24"/>
        </w:rPr>
        <w:t>Chem. Rev.</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105</w:t>
      </w:r>
      <w:r w:rsidRPr="002A697C">
        <w:rPr>
          <w:rFonts w:ascii="Times New Roman" w:hAnsi="Times New Roman" w:cs="Times New Roman"/>
          <w:noProof/>
          <w:sz w:val="24"/>
          <w:szCs w:val="24"/>
        </w:rPr>
        <w:t>, 621–632 (2005).</w:t>
      </w:r>
    </w:p>
    <w:p w14:paraId="73AC267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w:t>
      </w:r>
      <w:r w:rsidRPr="002A697C">
        <w:rPr>
          <w:rFonts w:ascii="Times New Roman" w:hAnsi="Times New Roman" w:cs="Times New Roman"/>
          <w:noProof/>
          <w:sz w:val="24"/>
          <w:szCs w:val="24"/>
        </w:rPr>
        <w:tab/>
        <w:t>Ho, Y. I., Chan, C. Y. &amp; Cheng, A. F. In-vitro activities of aminoglycoside-</w:t>
      </w:r>
      <w:r w:rsidRPr="002A697C">
        <w:rPr>
          <w:rFonts w:ascii="Times New Roman" w:hAnsi="Times New Roman" w:cs="Times New Roman"/>
          <w:noProof/>
          <w:sz w:val="24"/>
          <w:szCs w:val="24"/>
        </w:rPr>
        <w:lastRenderedPageBreak/>
        <w:t xml:space="preserve">aminocyclitols against mycobacteria. </w:t>
      </w:r>
      <w:r w:rsidRPr="002A697C">
        <w:rPr>
          <w:rFonts w:ascii="Times New Roman" w:hAnsi="Times New Roman" w:cs="Times New Roman"/>
          <w:i/>
          <w:iCs/>
          <w:noProof/>
          <w:sz w:val="24"/>
          <w:szCs w:val="24"/>
        </w:rPr>
        <w:t>J. Antimicrob.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40</w:t>
      </w:r>
      <w:r w:rsidRPr="002A697C">
        <w:rPr>
          <w:rFonts w:ascii="Times New Roman" w:hAnsi="Times New Roman" w:cs="Times New Roman"/>
          <w:noProof/>
          <w:sz w:val="24"/>
          <w:szCs w:val="24"/>
        </w:rPr>
        <w:t>, 27–32 (1997).</w:t>
      </w:r>
    </w:p>
    <w:p w14:paraId="2E4C4540"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w:t>
      </w:r>
      <w:r w:rsidRPr="002A697C">
        <w:rPr>
          <w:rFonts w:ascii="Times New Roman" w:hAnsi="Times New Roman" w:cs="Times New Roman"/>
          <w:noProof/>
          <w:sz w:val="24"/>
          <w:szCs w:val="24"/>
        </w:rPr>
        <w:tab/>
        <w:t xml:space="preserve">DeBarber, A. E., Mdluli, K., Bosman, M., Bekker, L. G. &amp; Barry, C. E. 3rd. Ethionamide activation and sensitivity in multidrug-resistant Mycobacterium  tuberculosis. </w:t>
      </w:r>
      <w:r w:rsidRPr="002A697C">
        <w:rPr>
          <w:rFonts w:ascii="Times New Roman" w:hAnsi="Times New Roman" w:cs="Times New Roman"/>
          <w:i/>
          <w:iCs/>
          <w:noProof/>
          <w:sz w:val="24"/>
          <w:szCs w:val="24"/>
        </w:rPr>
        <w:t>Proc. Natl. Acad. Sci. U. S. A.</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97</w:t>
      </w:r>
      <w:r w:rsidRPr="002A697C">
        <w:rPr>
          <w:rFonts w:ascii="Times New Roman" w:hAnsi="Times New Roman" w:cs="Times New Roman"/>
          <w:noProof/>
          <w:sz w:val="24"/>
          <w:szCs w:val="24"/>
        </w:rPr>
        <w:t>, 9677–9682 (2000).</w:t>
      </w:r>
    </w:p>
    <w:p w14:paraId="3F096DB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w:t>
      </w:r>
      <w:r w:rsidRPr="002A697C">
        <w:rPr>
          <w:rFonts w:ascii="Times New Roman" w:hAnsi="Times New Roman" w:cs="Times New Roman"/>
          <w:noProof/>
          <w:sz w:val="24"/>
          <w:szCs w:val="24"/>
        </w:rPr>
        <w:tab/>
        <w:t xml:space="preserve">Vilchèze, C. &amp; Jacobs, W. R. J. The mechanism of isoniazid killing: clarity through the scope of genetics. </w:t>
      </w:r>
      <w:r w:rsidRPr="002A697C">
        <w:rPr>
          <w:rFonts w:ascii="Times New Roman" w:hAnsi="Times New Roman" w:cs="Times New Roman"/>
          <w:i/>
          <w:iCs/>
          <w:noProof/>
          <w:sz w:val="24"/>
          <w:szCs w:val="24"/>
        </w:rPr>
        <w:t>Annu. Rev. Microbiol.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61</w:t>
      </w:r>
      <w:r w:rsidRPr="002A697C">
        <w:rPr>
          <w:rFonts w:ascii="Times New Roman" w:hAnsi="Times New Roman" w:cs="Times New Roman"/>
          <w:noProof/>
          <w:sz w:val="24"/>
          <w:szCs w:val="24"/>
        </w:rPr>
        <w:t>, 35–50 (2007).</w:t>
      </w:r>
    </w:p>
    <w:p w14:paraId="67C2A13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11.</w:t>
      </w:r>
      <w:r w:rsidRPr="002A697C">
        <w:rPr>
          <w:rFonts w:ascii="Times New Roman" w:hAnsi="Times New Roman" w:cs="Times New Roman"/>
          <w:noProof/>
          <w:sz w:val="24"/>
          <w:szCs w:val="24"/>
        </w:rPr>
        <w:tab/>
        <w:t xml:space="preserve">Xu, J.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Contribution of Pretomanid to Novel Regimens Containing Bedaquiline with either  Linezolid or Moxifloxacin and Pyrazinamide in Murine Models of Tuberculosis.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63</w:t>
      </w:r>
      <w:r w:rsidRPr="002A697C">
        <w:rPr>
          <w:rFonts w:ascii="Times New Roman" w:hAnsi="Times New Roman" w:cs="Times New Roman"/>
          <w:noProof/>
          <w:sz w:val="24"/>
          <w:szCs w:val="24"/>
        </w:rPr>
        <w:t>, (2019).</w:t>
      </w:r>
    </w:p>
    <w:p w14:paraId="30AF29A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12.</w:t>
      </w:r>
      <w:r w:rsidRPr="002A697C">
        <w:rPr>
          <w:rFonts w:ascii="Times New Roman" w:hAnsi="Times New Roman" w:cs="Times New Roman"/>
          <w:noProof/>
          <w:sz w:val="24"/>
          <w:szCs w:val="24"/>
        </w:rPr>
        <w:tab/>
        <w:t xml:space="preserve">Goude, R., Amin, A. G., Chatterjee, D. &amp; Parish, T. The arabinosyltransferase EmbC is inhibited by ethambutol in Mycobacterium  tuberculosis.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53</w:t>
      </w:r>
      <w:r w:rsidRPr="002A697C">
        <w:rPr>
          <w:rFonts w:ascii="Times New Roman" w:hAnsi="Times New Roman" w:cs="Times New Roman"/>
          <w:noProof/>
          <w:sz w:val="24"/>
          <w:szCs w:val="24"/>
        </w:rPr>
        <w:t>, 4138–4146 (2009).</w:t>
      </w:r>
    </w:p>
    <w:p w14:paraId="4ADE86E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13.</w:t>
      </w:r>
      <w:r w:rsidRPr="002A697C">
        <w:rPr>
          <w:rFonts w:ascii="Times New Roman" w:hAnsi="Times New Roman" w:cs="Times New Roman"/>
          <w:noProof/>
          <w:sz w:val="24"/>
          <w:szCs w:val="24"/>
        </w:rPr>
        <w:tab/>
        <w:t xml:space="preserve">Campbell, E.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Structural mechanism for rifampicin inhibition of bacterial rna polymerase. </w:t>
      </w:r>
      <w:r w:rsidRPr="002A697C">
        <w:rPr>
          <w:rFonts w:ascii="Times New Roman" w:hAnsi="Times New Roman" w:cs="Times New Roman"/>
          <w:i/>
          <w:iCs/>
          <w:noProof/>
          <w:sz w:val="24"/>
          <w:szCs w:val="24"/>
        </w:rPr>
        <w:t>Cell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104</w:t>
      </w:r>
      <w:r w:rsidRPr="002A697C">
        <w:rPr>
          <w:rFonts w:ascii="Times New Roman" w:hAnsi="Times New Roman" w:cs="Times New Roman"/>
          <w:noProof/>
          <w:sz w:val="24"/>
          <w:szCs w:val="24"/>
        </w:rPr>
        <w:t>, 901–912 (2001).</w:t>
      </w:r>
    </w:p>
    <w:p w14:paraId="55E9F01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14.</w:t>
      </w:r>
      <w:r w:rsidRPr="002A697C">
        <w:rPr>
          <w:rFonts w:ascii="Times New Roman" w:hAnsi="Times New Roman" w:cs="Times New Roman"/>
          <w:noProof/>
          <w:sz w:val="24"/>
          <w:szCs w:val="24"/>
        </w:rPr>
        <w:tab/>
        <w:t xml:space="preserve">Palomino, J. C. &amp; Martin, A. The potential role of trimethoprim-sulfamethoxazole in the treatment of  drug-resistant tuberculosis. </w:t>
      </w:r>
      <w:r w:rsidRPr="002A697C">
        <w:rPr>
          <w:rFonts w:ascii="Times New Roman" w:hAnsi="Times New Roman" w:cs="Times New Roman"/>
          <w:i/>
          <w:iCs/>
          <w:noProof/>
          <w:sz w:val="24"/>
          <w:szCs w:val="24"/>
        </w:rPr>
        <w:t>Future Microbiol.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11</w:t>
      </w:r>
      <w:r w:rsidRPr="002A697C">
        <w:rPr>
          <w:rFonts w:ascii="Times New Roman" w:hAnsi="Times New Roman" w:cs="Times New Roman"/>
          <w:noProof/>
          <w:sz w:val="24"/>
          <w:szCs w:val="24"/>
        </w:rPr>
        <w:t>, 539–547 (2016).</w:t>
      </w:r>
    </w:p>
    <w:p w14:paraId="0AAD31C0"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15.</w:t>
      </w:r>
      <w:r w:rsidRPr="002A697C">
        <w:rPr>
          <w:rFonts w:ascii="Times New Roman" w:hAnsi="Times New Roman" w:cs="Times New Roman"/>
          <w:noProof/>
          <w:sz w:val="24"/>
          <w:szCs w:val="24"/>
        </w:rPr>
        <w:tab/>
        <w:t xml:space="preserve">Koul,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Diarylquinolines target subunit c of mycobacterial ATP synthase. </w:t>
      </w:r>
      <w:r w:rsidRPr="002A697C">
        <w:rPr>
          <w:rFonts w:ascii="Times New Roman" w:hAnsi="Times New Roman" w:cs="Times New Roman"/>
          <w:i/>
          <w:iCs/>
          <w:noProof/>
          <w:sz w:val="24"/>
          <w:szCs w:val="24"/>
        </w:rPr>
        <w:t>Nat. Chem. 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w:t>
      </w:r>
      <w:r w:rsidRPr="002A697C">
        <w:rPr>
          <w:rFonts w:ascii="Times New Roman" w:hAnsi="Times New Roman" w:cs="Times New Roman"/>
          <w:noProof/>
          <w:sz w:val="24"/>
          <w:szCs w:val="24"/>
        </w:rPr>
        <w:t>, 323–324 (2007).</w:t>
      </w:r>
    </w:p>
    <w:p w14:paraId="315A427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16.</w:t>
      </w:r>
      <w:r w:rsidRPr="002A697C">
        <w:rPr>
          <w:rFonts w:ascii="Times New Roman" w:hAnsi="Times New Roman" w:cs="Times New Roman"/>
          <w:noProof/>
          <w:sz w:val="24"/>
          <w:szCs w:val="24"/>
        </w:rPr>
        <w:tab/>
        <w:t xml:space="preserve">Sterling, T. R.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Three months of rifapentine and isoniazid for latent tuberculosis infection. </w:t>
      </w:r>
      <w:r w:rsidRPr="002A697C">
        <w:rPr>
          <w:rFonts w:ascii="Times New Roman" w:hAnsi="Times New Roman" w:cs="Times New Roman"/>
          <w:i/>
          <w:iCs/>
          <w:noProof/>
          <w:sz w:val="24"/>
          <w:szCs w:val="24"/>
        </w:rPr>
        <w:t>N. Engl. J.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365</w:t>
      </w:r>
      <w:r w:rsidRPr="002A697C">
        <w:rPr>
          <w:rFonts w:ascii="Times New Roman" w:hAnsi="Times New Roman" w:cs="Times New Roman"/>
          <w:noProof/>
          <w:sz w:val="24"/>
          <w:szCs w:val="24"/>
        </w:rPr>
        <w:t>, 2155–2166 (2011).</w:t>
      </w:r>
    </w:p>
    <w:p w14:paraId="6EB5373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17.</w:t>
      </w:r>
      <w:r w:rsidRPr="002A697C">
        <w:rPr>
          <w:rFonts w:ascii="Times New Roman" w:hAnsi="Times New Roman" w:cs="Times New Roman"/>
          <w:noProof/>
          <w:sz w:val="24"/>
          <w:szCs w:val="24"/>
        </w:rPr>
        <w:tab/>
        <w:t xml:space="preserve">Vandekerckhove, S. &amp; D’hooghe, M. Quinoline-based antimalarial hybrid compounds. </w:t>
      </w:r>
      <w:r w:rsidRPr="002A697C">
        <w:rPr>
          <w:rFonts w:ascii="Times New Roman" w:hAnsi="Times New Roman" w:cs="Times New Roman"/>
          <w:i/>
          <w:iCs/>
          <w:noProof/>
          <w:sz w:val="24"/>
          <w:szCs w:val="24"/>
        </w:rPr>
        <w:t>Bioorg.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23</w:t>
      </w:r>
      <w:r w:rsidRPr="002A697C">
        <w:rPr>
          <w:rFonts w:ascii="Times New Roman" w:hAnsi="Times New Roman" w:cs="Times New Roman"/>
          <w:noProof/>
          <w:sz w:val="24"/>
          <w:szCs w:val="24"/>
        </w:rPr>
        <w:t>, 5098–5119 (2015).</w:t>
      </w:r>
    </w:p>
    <w:p w14:paraId="3913D3E1"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lastRenderedPageBreak/>
        <w:t>18.</w:t>
      </w:r>
      <w:r w:rsidRPr="002A697C">
        <w:rPr>
          <w:rFonts w:ascii="Times New Roman" w:hAnsi="Times New Roman" w:cs="Times New Roman"/>
          <w:noProof/>
          <w:sz w:val="24"/>
          <w:szCs w:val="24"/>
        </w:rPr>
        <w:tab/>
        <w:t xml:space="preserve">Olliaro, P. L., Haynes, R. K., Meunier, B. &amp; Yuthavong, Y. Possible modes of action of the artemisinin-type compounds. </w:t>
      </w:r>
      <w:r w:rsidRPr="002A697C">
        <w:rPr>
          <w:rFonts w:ascii="Times New Roman" w:hAnsi="Times New Roman" w:cs="Times New Roman"/>
          <w:i/>
          <w:iCs/>
          <w:noProof/>
          <w:sz w:val="24"/>
          <w:szCs w:val="24"/>
        </w:rPr>
        <w:t>Trends Parasitol.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17</w:t>
      </w:r>
      <w:r w:rsidRPr="002A697C">
        <w:rPr>
          <w:rFonts w:ascii="Times New Roman" w:hAnsi="Times New Roman" w:cs="Times New Roman"/>
          <w:noProof/>
          <w:sz w:val="24"/>
          <w:szCs w:val="24"/>
        </w:rPr>
        <w:t>, 122–126 (2001).</w:t>
      </w:r>
    </w:p>
    <w:p w14:paraId="48B440A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19.</w:t>
      </w:r>
      <w:r w:rsidRPr="002A697C">
        <w:rPr>
          <w:rFonts w:ascii="Times New Roman" w:hAnsi="Times New Roman" w:cs="Times New Roman"/>
          <w:noProof/>
          <w:sz w:val="24"/>
          <w:szCs w:val="24"/>
        </w:rPr>
        <w:tab/>
        <w:t xml:space="preserve">Fuchs,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Falciparum malaria-induced secondary hemophagocytic lymphohistiocytosis successfully  treated with ruxolitinib. </w:t>
      </w:r>
      <w:r w:rsidRPr="002A697C">
        <w:rPr>
          <w:rFonts w:ascii="Times New Roman" w:hAnsi="Times New Roman" w:cs="Times New Roman"/>
          <w:i/>
          <w:iCs/>
          <w:noProof/>
          <w:sz w:val="24"/>
          <w:szCs w:val="24"/>
        </w:rPr>
        <w:t>International journal of infectious diseases : IJID : official publication of the  International Society for Infectious Diseases</w:t>
      </w:r>
      <w:r w:rsidRPr="002A697C">
        <w:rPr>
          <w:rFonts w:ascii="Times New Roman" w:hAnsi="Times New Roman" w:cs="Times New Roman"/>
          <w:noProof/>
          <w:sz w:val="24"/>
          <w:szCs w:val="24"/>
        </w:rPr>
        <w:t xml:space="preserve"> (2020) doi:10.1016/j.ijid.2020.07.062.</w:t>
      </w:r>
    </w:p>
    <w:p w14:paraId="4621C97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20.</w:t>
      </w:r>
      <w:r w:rsidRPr="002A697C">
        <w:rPr>
          <w:rFonts w:ascii="Times New Roman" w:hAnsi="Times New Roman" w:cs="Times New Roman"/>
          <w:noProof/>
          <w:sz w:val="24"/>
          <w:szCs w:val="24"/>
        </w:rPr>
        <w:tab/>
        <w:t xml:space="preserve">Kobylinski, K. C.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Rationale for the coadministration of albendazole and ivermectin to humans for  malaria parasite transmission control. </w:t>
      </w:r>
      <w:r w:rsidRPr="002A697C">
        <w:rPr>
          <w:rFonts w:ascii="Times New Roman" w:hAnsi="Times New Roman" w:cs="Times New Roman"/>
          <w:i/>
          <w:iCs/>
          <w:noProof/>
          <w:sz w:val="24"/>
          <w:szCs w:val="24"/>
        </w:rPr>
        <w:t>Am. J. Trop. Med. Hyg.</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91</w:t>
      </w:r>
      <w:r w:rsidRPr="002A697C">
        <w:rPr>
          <w:rFonts w:ascii="Times New Roman" w:hAnsi="Times New Roman" w:cs="Times New Roman"/>
          <w:noProof/>
          <w:sz w:val="24"/>
          <w:szCs w:val="24"/>
        </w:rPr>
        <w:t>, 655–662 (2014).</w:t>
      </w:r>
    </w:p>
    <w:p w14:paraId="193AE94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21.</w:t>
      </w:r>
      <w:r w:rsidRPr="002A697C">
        <w:rPr>
          <w:rFonts w:ascii="Times New Roman" w:hAnsi="Times New Roman" w:cs="Times New Roman"/>
          <w:noProof/>
          <w:sz w:val="24"/>
          <w:szCs w:val="24"/>
        </w:rPr>
        <w:tab/>
        <w:t xml:space="preserve">Wiesner, J., Borrmann, S. &amp; Jomaa, H. Fosmidomycin for the treatment of malaria. </w:t>
      </w:r>
      <w:r w:rsidRPr="002A697C">
        <w:rPr>
          <w:rFonts w:ascii="Times New Roman" w:hAnsi="Times New Roman" w:cs="Times New Roman"/>
          <w:i/>
          <w:iCs/>
          <w:noProof/>
          <w:sz w:val="24"/>
          <w:szCs w:val="24"/>
        </w:rPr>
        <w:t>Parasitol. Res.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90 Suppl 2</w:t>
      </w:r>
      <w:r w:rsidRPr="002A697C">
        <w:rPr>
          <w:rFonts w:ascii="Times New Roman" w:hAnsi="Times New Roman" w:cs="Times New Roman"/>
          <w:noProof/>
          <w:sz w:val="24"/>
          <w:szCs w:val="24"/>
        </w:rPr>
        <w:t>, S71-6 (2003).</w:t>
      </w:r>
    </w:p>
    <w:p w14:paraId="0413CC6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22.</w:t>
      </w:r>
      <w:r w:rsidRPr="002A697C">
        <w:rPr>
          <w:rFonts w:ascii="Times New Roman" w:hAnsi="Times New Roman" w:cs="Times New Roman"/>
          <w:noProof/>
          <w:sz w:val="24"/>
          <w:szCs w:val="24"/>
        </w:rPr>
        <w:tab/>
        <w:t xml:space="preserve">Kaneko,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Intrinsic efficacy of proguanil against falciparum and vivax malaria independent of  the metabolite cycloguanil. </w:t>
      </w:r>
      <w:r w:rsidRPr="002A697C">
        <w:rPr>
          <w:rFonts w:ascii="Times New Roman" w:hAnsi="Times New Roman" w:cs="Times New Roman"/>
          <w:i/>
          <w:iCs/>
          <w:noProof/>
          <w:sz w:val="24"/>
          <w:szCs w:val="24"/>
        </w:rPr>
        <w:t>J. Infect. Dis.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179</w:t>
      </w:r>
      <w:r w:rsidRPr="002A697C">
        <w:rPr>
          <w:rFonts w:ascii="Times New Roman" w:hAnsi="Times New Roman" w:cs="Times New Roman"/>
          <w:noProof/>
          <w:sz w:val="24"/>
          <w:szCs w:val="24"/>
        </w:rPr>
        <w:t>, 974–979 (1999).</w:t>
      </w:r>
    </w:p>
    <w:p w14:paraId="0694E762"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23.</w:t>
      </w:r>
      <w:r w:rsidRPr="002A697C">
        <w:rPr>
          <w:rFonts w:ascii="Times New Roman" w:hAnsi="Times New Roman" w:cs="Times New Roman"/>
          <w:noProof/>
          <w:sz w:val="24"/>
          <w:szCs w:val="24"/>
        </w:rPr>
        <w:tab/>
        <w:t xml:space="preserve">Stauffer, W. &amp; Fischer, P. R. Diagnosis and treatment of malaria in children. </w:t>
      </w:r>
      <w:r w:rsidRPr="002A697C">
        <w:rPr>
          <w:rFonts w:ascii="Times New Roman" w:hAnsi="Times New Roman" w:cs="Times New Roman"/>
          <w:i/>
          <w:iCs/>
          <w:noProof/>
          <w:sz w:val="24"/>
          <w:szCs w:val="24"/>
        </w:rPr>
        <w:t>Clin. Infect. Dis.  an Off. Publ. Infect. Dis.  Soc. Am.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37</w:t>
      </w:r>
      <w:r w:rsidRPr="002A697C">
        <w:rPr>
          <w:rFonts w:ascii="Times New Roman" w:hAnsi="Times New Roman" w:cs="Times New Roman"/>
          <w:noProof/>
          <w:sz w:val="24"/>
          <w:szCs w:val="24"/>
        </w:rPr>
        <w:t>, 1340–1348 (2003).</w:t>
      </w:r>
    </w:p>
    <w:p w14:paraId="197D3FE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24.</w:t>
      </w:r>
      <w:r w:rsidRPr="002A697C">
        <w:rPr>
          <w:rFonts w:ascii="Times New Roman" w:hAnsi="Times New Roman" w:cs="Times New Roman"/>
          <w:noProof/>
          <w:sz w:val="24"/>
          <w:szCs w:val="24"/>
        </w:rPr>
        <w:tab/>
        <w:t xml:space="preserve">Barnes, K. I.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Sulfadoxine-pyrimethamine pharmacokinetics in malaria: Pediatric dosing implications. </w:t>
      </w:r>
      <w:r w:rsidRPr="002A697C">
        <w:rPr>
          <w:rFonts w:ascii="Times New Roman" w:hAnsi="Times New Roman" w:cs="Times New Roman"/>
          <w:i/>
          <w:iCs/>
          <w:noProof/>
          <w:sz w:val="24"/>
          <w:szCs w:val="24"/>
        </w:rPr>
        <w:t>Clin. Pharmacol.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80</w:t>
      </w:r>
      <w:r w:rsidRPr="002A697C">
        <w:rPr>
          <w:rFonts w:ascii="Times New Roman" w:hAnsi="Times New Roman" w:cs="Times New Roman"/>
          <w:noProof/>
          <w:sz w:val="24"/>
          <w:szCs w:val="24"/>
        </w:rPr>
        <w:t>, 582–596 (2006).</w:t>
      </w:r>
    </w:p>
    <w:p w14:paraId="7509DF61"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25.</w:t>
      </w:r>
      <w:r w:rsidRPr="002A697C">
        <w:rPr>
          <w:rFonts w:ascii="Times New Roman" w:hAnsi="Times New Roman" w:cs="Times New Roman"/>
          <w:noProof/>
          <w:sz w:val="24"/>
          <w:szCs w:val="24"/>
        </w:rPr>
        <w:tab/>
        <w:t xml:space="preserve">Crowley, P. D. &amp; Gallagher, H. C. Clotrimazole as a pharmaceutical: past, present and future. </w:t>
      </w:r>
      <w:r w:rsidRPr="002A697C">
        <w:rPr>
          <w:rFonts w:ascii="Times New Roman" w:hAnsi="Times New Roman" w:cs="Times New Roman"/>
          <w:i/>
          <w:iCs/>
          <w:noProof/>
          <w:sz w:val="24"/>
          <w:szCs w:val="24"/>
        </w:rPr>
        <w:t>J. Appl. Microbiol.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117</w:t>
      </w:r>
      <w:r w:rsidRPr="002A697C">
        <w:rPr>
          <w:rFonts w:ascii="Times New Roman" w:hAnsi="Times New Roman" w:cs="Times New Roman"/>
          <w:noProof/>
          <w:sz w:val="24"/>
          <w:szCs w:val="24"/>
        </w:rPr>
        <w:t>, 611–617 (2014).</w:t>
      </w:r>
    </w:p>
    <w:p w14:paraId="16CB713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26.</w:t>
      </w:r>
      <w:r w:rsidRPr="002A697C">
        <w:rPr>
          <w:rFonts w:ascii="Times New Roman" w:hAnsi="Times New Roman" w:cs="Times New Roman"/>
          <w:noProof/>
          <w:sz w:val="24"/>
          <w:szCs w:val="24"/>
        </w:rPr>
        <w:tab/>
        <w:t xml:space="preserve">Vazquez, J. A. Anidulafungin: a new echinocandin with a novel profile. </w:t>
      </w:r>
      <w:r w:rsidRPr="002A697C">
        <w:rPr>
          <w:rFonts w:ascii="Times New Roman" w:hAnsi="Times New Roman" w:cs="Times New Roman"/>
          <w:i/>
          <w:iCs/>
          <w:noProof/>
          <w:sz w:val="24"/>
          <w:szCs w:val="24"/>
        </w:rPr>
        <w:t>Clin.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27</w:t>
      </w:r>
      <w:r w:rsidRPr="002A697C">
        <w:rPr>
          <w:rFonts w:ascii="Times New Roman" w:hAnsi="Times New Roman" w:cs="Times New Roman"/>
          <w:noProof/>
          <w:sz w:val="24"/>
          <w:szCs w:val="24"/>
        </w:rPr>
        <w:t>, 657–673 (2005).</w:t>
      </w:r>
    </w:p>
    <w:p w14:paraId="15C42BA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27.</w:t>
      </w:r>
      <w:r w:rsidRPr="002A697C">
        <w:rPr>
          <w:rFonts w:ascii="Times New Roman" w:hAnsi="Times New Roman" w:cs="Times New Roman"/>
          <w:noProof/>
          <w:sz w:val="24"/>
          <w:szCs w:val="24"/>
        </w:rPr>
        <w:tab/>
        <w:t xml:space="preserve">Groll, A. H. &amp; Walsh, T. J. Posaconazole: clinical pharmacology and potential for management of fungal  infections. </w:t>
      </w:r>
      <w:r w:rsidRPr="002A697C">
        <w:rPr>
          <w:rFonts w:ascii="Times New Roman" w:hAnsi="Times New Roman" w:cs="Times New Roman"/>
          <w:i/>
          <w:iCs/>
          <w:noProof/>
          <w:sz w:val="24"/>
          <w:szCs w:val="24"/>
        </w:rPr>
        <w:t>Expert Rev. Anti. Infect.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w:t>
      </w:r>
      <w:r w:rsidRPr="002A697C">
        <w:rPr>
          <w:rFonts w:ascii="Times New Roman" w:hAnsi="Times New Roman" w:cs="Times New Roman"/>
          <w:noProof/>
          <w:sz w:val="24"/>
          <w:szCs w:val="24"/>
        </w:rPr>
        <w:t>, 467–487 (2005).</w:t>
      </w:r>
    </w:p>
    <w:p w14:paraId="21CC184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lastRenderedPageBreak/>
        <w:t>28.</w:t>
      </w:r>
      <w:r w:rsidRPr="002A697C">
        <w:rPr>
          <w:rFonts w:ascii="Times New Roman" w:hAnsi="Times New Roman" w:cs="Times New Roman"/>
          <w:noProof/>
          <w:sz w:val="24"/>
          <w:szCs w:val="24"/>
        </w:rPr>
        <w:tab/>
        <w:t xml:space="preserve">Falci, D. R. &amp; Pasqualotto, A. C. Profile of isavuconazole and its potential in the treatment of severe invasive  fungal infections. </w:t>
      </w:r>
      <w:r w:rsidRPr="002A697C">
        <w:rPr>
          <w:rFonts w:ascii="Times New Roman" w:hAnsi="Times New Roman" w:cs="Times New Roman"/>
          <w:i/>
          <w:iCs/>
          <w:noProof/>
          <w:sz w:val="24"/>
          <w:szCs w:val="24"/>
        </w:rPr>
        <w:t>Infect. Drug Resist.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w:t>
      </w:r>
      <w:r w:rsidRPr="002A697C">
        <w:rPr>
          <w:rFonts w:ascii="Times New Roman" w:hAnsi="Times New Roman" w:cs="Times New Roman"/>
          <w:noProof/>
          <w:sz w:val="24"/>
          <w:szCs w:val="24"/>
        </w:rPr>
        <w:t>, 163–174 (2013).</w:t>
      </w:r>
    </w:p>
    <w:p w14:paraId="2DCC883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29.</w:t>
      </w:r>
      <w:r w:rsidRPr="002A697C">
        <w:rPr>
          <w:rFonts w:ascii="Times New Roman" w:hAnsi="Times New Roman" w:cs="Times New Roman"/>
          <w:noProof/>
          <w:sz w:val="24"/>
          <w:szCs w:val="24"/>
        </w:rPr>
        <w:tab/>
        <w:t xml:space="preserve">McCormack, P. L. &amp; Perry, C. M. Caspofungin: a review of its use in the treatment of fungal infections. </w:t>
      </w:r>
      <w:r w:rsidRPr="002A697C">
        <w:rPr>
          <w:rFonts w:ascii="Times New Roman" w:hAnsi="Times New Roman" w:cs="Times New Roman"/>
          <w:i/>
          <w:iCs/>
          <w:noProof/>
          <w:sz w:val="24"/>
          <w:szCs w:val="24"/>
        </w:rPr>
        <w:t>Drugs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65</w:t>
      </w:r>
      <w:r w:rsidRPr="002A697C">
        <w:rPr>
          <w:rFonts w:ascii="Times New Roman" w:hAnsi="Times New Roman" w:cs="Times New Roman"/>
          <w:noProof/>
          <w:sz w:val="24"/>
          <w:szCs w:val="24"/>
        </w:rPr>
        <w:t>, 2049–2068 (2005).</w:t>
      </w:r>
    </w:p>
    <w:p w14:paraId="1A920B02"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30.</w:t>
      </w:r>
      <w:r w:rsidRPr="002A697C">
        <w:rPr>
          <w:rFonts w:ascii="Times New Roman" w:hAnsi="Times New Roman" w:cs="Times New Roman"/>
          <w:noProof/>
          <w:sz w:val="24"/>
          <w:szCs w:val="24"/>
        </w:rPr>
        <w:tab/>
        <w:t xml:space="preserve">Groll, A. H., Stergiopoulou, T., Roilides, E. &amp; Walsh, T. J. Micafungin: pharmacology, experimental therapeutics and clinical applications. </w:t>
      </w:r>
      <w:r w:rsidRPr="002A697C">
        <w:rPr>
          <w:rFonts w:ascii="Times New Roman" w:hAnsi="Times New Roman" w:cs="Times New Roman"/>
          <w:i/>
          <w:iCs/>
          <w:noProof/>
          <w:sz w:val="24"/>
          <w:szCs w:val="24"/>
        </w:rPr>
        <w:t>Expert Opin. Investig. Drugs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14</w:t>
      </w:r>
      <w:r w:rsidRPr="002A697C">
        <w:rPr>
          <w:rFonts w:ascii="Times New Roman" w:hAnsi="Times New Roman" w:cs="Times New Roman"/>
          <w:noProof/>
          <w:sz w:val="24"/>
          <w:szCs w:val="24"/>
        </w:rPr>
        <w:t>, 489–509 (2005).</w:t>
      </w:r>
    </w:p>
    <w:p w14:paraId="6FBD169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31.</w:t>
      </w:r>
      <w:r w:rsidRPr="002A697C">
        <w:rPr>
          <w:rFonts w:ascii="Times New Roman" w:hAnsi="Times New Roman" w:cs="Times New Roman"/>
          <w:noProof/>
          <w:sz w:val="24"/>
          <w:szCs w:val="24"/>
        </w:rPr>
        <w:tab/>
        <w:t xml:space="preserve">Patel, T. &amp; Dhillon, S. Efinaconazole: first global approval. </w:t>
      </w:r>
      <w:r w:rsidRPr="002A697C">
        <w:rPr>
          <w:rFonts w:ascii="Times New Roman" w:hAnsi="Times New Roman" w:cs="Times New Roman"/>
          <w:i/>
          <w:iCs/>
          <w:noProof/>
          <w:sz w:val="24"/>
          <w:szCs w:val="24"/>
        </w:rPr>
        <w:t>Drugs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73</w:t>
      </w:r>
      <w:r w:rsidRPr="002A697C">
        <w:rPr>
          <w:rFonts w:ascii="Times New Roman" w:hAnsi="Times New Roman" w:cs="Times New Roman"/>
          <w:noProof/>
          <w:sz w:val="24"/>
          <w:szCs w:val="24"/>
        </w:rPr>
        <w:t>, 1977–1983 (2013).</w:t>
      </w:r>
    </w:p>
    <w:p w14:paraId="4418173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32.</w:t>
      </w:r>
      <w:r w:rsidRPr="002A697C">
        <w:rPr>
          <w:rFonts w:ascii="Times New Roman" w:hAnsi="Times New Roman" w:cs="Times New Roman"/>
          <w:noProof/>
          <w:sz w:val="24"/>
          <w:szCs w:val="24"/>
        </w:rPr>
        <w:tab/>
        <w:t xml:space="preserve">Vanden Bossche, H. &amp; Marichal, P. Mode of action of anti-Candida drugs: focus on terconazole and other ergosterol  biosynthesis inhibitors. </w:t>
      </w:r>
      <w:r w:rsidRPr="002A697C">
        <w:rPr>
          <w:rFonts w:ascii="Times New Roman" w:hAnsi="Times New Roman" w:cs="Times New Roman"/>
          <w:i/>
          <w:iCs/>
          <w:noProof/>
          <w:sz w:val="24"/>
          <w:szCs w:val="24"/>
        </w:rPr>
        <w:t>Am. J. Obstet. Gynecol.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165</w:t>
      </w:r>
      <w:r w:rsidRPr="002A697C">
        <w:rPr>
          <w:rFonts w:ascii="Times New Roman" w:hAnsi="Times New Roman" w:cs="Times New Roman"/>
          <w:noProof/>
          <w:sz w:val="24"/>
          <w:szCs w:val="24"/>
        </w:rPr>
        <w:t>, 1193–1199 (1991).</w:t>
      </w:r>
    </w:p>
    <w:p w14:paraId="6B3F5EBD"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33.</w:t>
      </w:r>
      <w:r w:rsidRPr="002A697C">
        <w:rPr>
          <w:rFonts w:ascii="Times New Roman" w:hAnsi="Times New Roman" w:cs="Times New Roman"/>
          <w:noProof/>
          <w:sz w:val="24"/>
          <w:szCs w:val="24"/>
        </w:rPr>
        <w:tab/>
        <w:t xml:space="preserve">Toledo-Bahena, M. E.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The efficacy and safety of tavaborole, a novel, boron-based pharmaceutical agent:  phase 2 studies conducted for the topical treatment of toenail onychomycosis. </w:t>
      </w:r>
      <w:r w:rsidRPr="002A697C">
        <w:rPr>
          <w:rFonts w:ascii="Times New Roman" w:hAnsi="Times New Roman" w:cs="Times New Roman"/>
          <w:i/>
          <w:iCs/>
          <w:noProof/>
          <w:sz w:val="24"/>
          <w:szCs w:val="24"/>
        </w:rPr>
        <w:t>J. Drugs Dermatol.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13</w:t>
      </w:r>
      <w:r w:rsidRPr="002A697C">
        <w:rPr>
          <w:rFonts w:ascii="Times New Roman" w:hAnsi="Times New Roman" w:cs="Times New Roman"/>
          <w:noProof/>
          <w:sz w:val="24"/>
          <w:szCs w:val="24"/>
        </w:rPr>
        <w:t>, 1124–1132 (2014).</w:t>
      </w:r>
    </w:p>
    <w:p w14:paraId="7922569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34.</w:t>
      </w:r>
      <w:r w:rsidRPr="002A697C">
        <w:rPr>
          <w:rFonts w:ascii="Times New Roman" w:hAnsi="Times New Roman" w:cs="Times New Roman"/>
          <w:noProof/>
          <w:sz w:val="24"/>
          <w:szCs w:val="24"/>
        </w:rPr>
        <w:tab/>
        <w:t xml:space="preserve">Iwatani, W., Arika, T. &amp; Yamaguchi, H. Two mechanisms of butenafine action in Candida albicans.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37</w:t>
      </w:r>
      <w:r w:rsidRPr="002A697C">
        <w:rPr>
          <w:rFonts w:ascii="Times New Roman" w:hAnsi="Times New Roman" w:cs="Times New Roman"/>
          <w:noProof/>
          <w:sz w:val="24"/>
          <w:szCs w:val="24"/>
        </w:rPr>
        <w:t>, 785–788 (1993).</w:t>
      </w:r>
    </w:p>
    <w:p w14:paraId="3561E33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35.</w:t>
      </w:r>
      <w:r w:rsidRPr="002A697C">
        <w:rPr>
          <w:rFonts w:ascii="Times New Roman" w:hAnsi="Times New Roman" w:cs="Times New Roman"/>
          <w:noProof/>
          <w:sz w:val="24"/>
          <w:szCs w:val="24"/>
        </w:rPr>
        <w:tab/>
        <w:t xml:space="preserve">Thomason, J. L. Clinical evaluation of terconazole. United states experience. </w:t>
      </w:r>
      <w:r w:rsidRPr="002A697C">
        <w:rPr>
          <w:rFonts w:ascii="Times New Roman" w:hAnsi="Times New Roman" w:cs="Times New Roman"/>
          <w:i/>
          <w:iCs/>
          <w:noProof/>
          <w:sz w:val="24"/>
          <w:szCs w:val="24"/>
        </w:rPr>
        <w:t>J. Reprod.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34</w:t>
      </w:r>
      <w:r w:rsidRPr="002A697C">
        <w:rPr>
          <w:rFonts w:ascii="Times New Roman" w:hAnsi="Times New Roman" w:cs="Times New Roman"/>
          <w:noProof/>
          <w:sz w:val="24"/>
          <w:szCs w:val="24"/>
        </w:rPr>
        <w:t>, 597–601 (1989).</w:t>
      </w:r>
    </w:p>
    <w:p w14:paraId="0756532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36.</w:t>
      </w:r>
      <w:r w:rsidRPr="002A697C">
        <w:rPr>
          <w:rFonts w:ascii="Times New Roman" w:hAnsi="Times New Roman" w:cs="Times New Roman"/>
          <w:noProof/>
          <w:sz w:val="24"/>
          <w:szCs w:val="24"/>
        </w:rPr>
        <w:tab/>
        <w:t xml:space="preserve">Khalandi, H.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Antifungal Activity of Capric Acid, Nystatin, and Fluconazole and Their In Vitro  Interactions Against Candida Isolates from Neonatal Oral Thrush. </w:t>
      </w:r>
      <w:r w:rsidRPr="002A697C">
        <w:rPr>
          <w:rFonts w:ascii="Times New Roman" w:hAnsi="Times New Roman" w:cs="Times New Roman"/>
          <w:i/>
          <w:iCs/>
          <w:noProof/>
          <w:sz w:val="24"/>
          <w:szCs w:val="24"/>
        </w:rPr>
        <w:t>Assay Drug Dev. Technol.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18</w:t>
      </w:r>
      <w:r w:rsidRPr="002A697C">
        <w:rPr>
          <w:rFonts w:ascii="Times New Roman" w:hAnsi="Times New Roman" w:cs="Times New Roman"/>
          <w:noProof/>
          <w:sz w:val="24"/>
          <w:szCs w:val="24"/>
        </w:rPr>
        <w:t>, 195–201 (2020).</w:t>
      </w:r>
    </w:p>
    <w:p w14:paraId="15C1C6E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37.</w:t>
      </w:r>
      <w:r w:rsidRPr="002A697C">
        <w:rPr>
          <w:rFonts w:ascii="Times New Roman" w:hAnsi="Times New Roman" w:cs="Times New Roman"/>
          <w:noProof/>
          <w:sz w:val="24"/>
          <w:szCs w:val="24"/>
        </w:rPr>
        <w:tab/>
        <w:t xml:space="preserve">Zhu, J., Luther, P. W., Leng, Q. &amp; Mixson, A. J. Synthetic histidine-rich peptides </w:t>
      </w:r>
      <w:r w:rsidRPr="002A697C">
        <w:rPr>
          <w:rFonts w:ascii="Times New Roman" w:hAnsi="Times New Roman" w:cs="Times New Roman"/>
          <w:noProof/>
          <w:sz w:val="24"/>
          <w:szCs w:val="24"/>
        </w:rPr>
        <w:lastRenderedPageBreak/>
        <w:t xml:space="preserve">inhibit Candida species and other fungi in vitro:  role of endocytosis and treatment implications.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50</w:t>
      </w:r>
      <w:r w:rsidRPr="002A697C">
        <w:rPr>
          <w:rFonts w:ascii="Times New Roman" w:hAnsi="Times New Roman" w:cs="Times New Roman"/>
          <w:noProof/>
          <w:sz w:val="24"/>
          <w:szCs w:val="24"/>
        </w:rPr>
        <w:t>, 2797–2805 (2006).</w:t>
      </w:r>
    </w:p>
    <w:p w14:paraId="45F878C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38.</w:t>
      </w:r>
      <w:r w:rsidRPr="002A697C">
        <w:rPr>
          <w:rFonts w:ascii="Times New Roman" w:hAnsi="Times New Roman" w:cs="Times New Roman"/>
          <w:noProof/>
          <w:sz w:val="24"/>
          <w:szCs w:val="24"/>
        </w:rPr>
        <w:tab/>
        <w:t>Flucytosine. in (ed. Aronson, J. K. B. T.-M. S. E. of D. (Sixteenth E.) 355–358 (Elsevier, 2016). doi:https://doi.org/10.1016/B978-0-444-53717-1.00753-8.</w:t>
      </w:r>
    </w:p>
    <w:p w14:paraId="683EB44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39.</w:t>
      </w:r>
      <w:r w:rsidRPr="002A697C">
        <w:rPr>
          <w:rFonts w:ascii="Times New Roman" w:hAnsi="Times New Roman" w:cs="Times New Roman"/>
          <w:noProof/>
          <w:sz w:val="24"/>
          <w:szCs w:val="24"/>
        </w:rPr>
        <w:tab/>
        <w:t xml:space="preserve">Smith, W. L. &amp; Edlind, T. D. Histone deacetylase inhibitors enhance Candida albicans sensitivity to azoles and  related antifungals: correlation with reduction in CDR and ERG upregulation.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46</w:t>
      </w:r>
      <w:r w:rsidRPr="002A697C">
        <w:rPr>
          <w:rFonts w:ascii="Times New Roman" w:hAnsi="Times New Roman" w:cs="Times New Roman"/>
          <w:noProof/>
          <w:sz w:val="24"/>
          <w:szCs w:val="24"/>
        </w:rPr>
        <w:t>, 3532–3539 (2002).</w:t>
      </w:r>
    </w:p>
    <w:p w14:paraId="4897BC6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40.</w:t>
      </w:r>
      <w:r w:rsidRPr="002A697C">
        <w:rPr>
          <w:rFonts w:ascii="Times New Roman" w:hAnsi="Times New Roman" w:cs="Times New Roman"/>
          <w:noProof/>
          <w:sz w:val="24"/>
          <w:szCs w:val="24"/>
        </w:rPr>
        <w:tab/>
        <w:t xml:space="preserve">Hoberg, K. A., Cihlar, R. L. &amp; Calderone, R. A. Inhibitory effect of cerulenin and sodium butyrate on germination of Candida  albicans.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24</w:t>
      </w:r>
      <w:r w:rsidRPr="002A697C">
        <w:rPr>
          <w:rFonts w:ascii="Times New Roman" w:hAnsi="Times New Roman" w:cs="Times New Roman"/>
          <w:noProof/>
          <w:sz w:val="24"/>
          <w:szCs w:val="24"/>
        </w:rPr>
        <w:t>, 401–408 (1983).</w:t>
      </w:r>
    </w:p>
    <w:p w14:paraId="00245BE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41.</w:t>
      </w:r>
      <w:r w:rsidRPr="002A697C">
        <w:rPr>
          <w:rFonts w:ascii="Times New Roman" w:hAnsi="Times New Roman" w:cs="Times New Roman"/>
          <w:noProof/>
          <w:sz w:val="24"/>
          <w:szCs w:val="24"/>
        </w:rPr>
        <w:tab/>
        <w:t xml:space="preserve">Aeed, P. A., Young, C. L., Nagiec, M. M. &amp; Elhammer, A. P. Inhibition of inositol phosphorylceramide synthase by the cyclic peptide  aureobasidin A.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53</w:t>
      </w:r>
      <w:r w:rsidRPr="002A697C">
        <w:rPr>
          <w:rFonts w:ascii="Times New Roman" w:hAnsi="Times New Roman" w:cs="Times New Roman"/>
          <w:noProof/>
          <w:sz w:val="24"/>
          <w:szCs w:val="24"/>
        </w:rPr>
        <w:t>, 496–504 (2009).</w:t>
      </w:r>
    </w:p>
    <w:p w14:paraId="0DE61FC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42.</w:t>
      </w:r>
      <w:r w:rsidRPr="002A697C">
        <w:rPr>
          <w:rFonts w:ascii="Times New Roman" w:hAnsi="Times New Roman" w:cs="Times New Roman"/>
          <w:noProof/>
          <w:sz w:val="24"/>
          <w:szCs w:val="24"/>
        </w:rPr>
        <w:tab/>
        <w:t xml:space="preserve">Kaneko, Y., Ohno, H., Imamura, Y., Kohno, S. &amp; Miyazaki, Y. The effects of an hsp90 inhibitor on the paradoxical effect. </w:t>
      </w:r>
      <w:r w:rsidRPr="002A697C">
        <w:rPr>
          <w:rFonts w:ascii="Times New Roman" w:hAnsi="Times New Roman" w:cs="Times New Roman"/>
          <w:i/>
          <w:iCs/>
          <w:noProof/>
          <w:sz w:val="24"/>
          <w:szCs w:val="24"/>
        </w:rPr>
        <w:t>Jpn. J. Infect. Dis.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62</w:t>
      </w:r>
      <w:r w:rsidRPr="002A697C">
        <w:rPr>
          <w:rFonts w:ascii="Times New Roman" w:hAnsi="Times New Roman" w:cs="Times New Roman"/>
          <w:noProof/>
          <w:sz w:val="24"/>
          <w:szCs w:val="24"/>
        </w:rPr>
        <w:t>, 392–393 (2009).</w:t>
      </w:r>
    </w:p>
    <w:p w14:paraId="505F03D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43.</w:t>
      </w:r>
      <w:r w:rsidRPr="002A697C">
        <w:rPr>
          <w:rFonts w:ascii="Times New Roman" w:hAnsi="Times New Roman" w:cs="Times New Roman"/>
          <w:noProof/>
          <w:sz w:val="24"/>
          <w:szCs w:val="24"/>
        </w:rPr>
        <w:tab/>
        <w:t xml:space="preserve">Hernández Molina, J. M., Llosá, J. &amp; Ventosa, A. In vitro activity of nitroxoline against clinical isolates of Candida species. </w:t>
      </w:r>
      <w:r w:rsidRPr="002A697C">
        <w:rPr>
          <w:rFonts w:ascii="Times New Roman" w:hAnsi="Times New Roman" w:cs="Times New Roman"/>
          <w:i/>
          <w:iCs/>
          <w:noProof/>
          <w:sz w:val="24"/>
          <w:szCs w:val="24"/>
        </w:rPr>
        <w:t>Mycoses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34</w:t>
      </w:r>
      <w:r w:rsidRPr="002A697C">
        <w:rPr>
          <w:rFonts w:ascii="Times New Roman" w:hAnsi="Times New Roman" w:cs="Times New Roman"/>
          <w:noProof/>
          <w:sz w:val="24"/>
          <w:szCs w:val="24"/>
        </w:rPr>
        <w:t>, 323–325 (1991).</w:t>
      </w:r>
    </w:p>
    <w:p w14:paraId="68234DC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44.</w:t>
      </w:r>
      <w:r w:rsidRPr="002A697C">
        <w:rPr>
          <w:rFonts w:ascii="Times New Roman" w:hAnsi="Times New Roman" w:cs="Times New Roman"/>
          <w:noProof/>
          <w:sz w:val="24"/>
          <w:szCs w:val="24"/>
        </w:rPr>
        <w:tab/>
        <w:t xml:space="preserve">Ryder, N. S., Frank, I. &amp; Dupont, M. C. Ergosterol biosynthesis inhibition by the thiocarbamate antifungal agents tolnaftate  and tolciclate.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29</w:t>
      </w:r>
      <w:r w:rsidRPr="002A697C">
        <w:rPr>
          <w:rFonts w:ascii="Times New Roman" w:hAnsi="Times New Roman" w:cs="Times New Roman"/>
          <w:noProof/>
          <w:sz w:val="24"/>
          <w:szCs w:val="24"/>
        </w:rPr>
        <w:t>, 858–860 (1986).</w:t>
      </w:r>
    </w:p>
    <w:p w14:paraId="2D6C260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45.</w:t>
      </w:r>
      <w:r w:rsidRPr="002A697C">
        <w:rPr>
          <w:rFonts w:ascii="Times New Roman" w:hAnsi="Times New Roman" w:cs="Times New Roman"/>
          <w:noProof/>
          <w:sz w:val="24"/>
          <w:szCs w:val="24"/>
        </w:rPr>
        <w:tab/>
        <w:t xml:space="preserve">Thierbach, G. &amp; Reichenbach, H. Myxothiazol, a new antibiotic interfering with respiration.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19</w:t>
      </w:r>
      <w:r w:rsidRPr="002A697C">
        <w:rPr>
          <w:rFonts w:ascii="Times New Roman" w:hAnsi="Times New Roman" w:cs="Times New Roman"/>
          <w:noProof/>
          <w:sz w:val="24"/>
          <w:szCs w:val="24"/>
        </w:rPr>
        <w:t>, 504–507 (1981).</w:t>
      </w:r>
    </w:p>
    <w:p w14:paraId="28FAFC9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46.</w:t>
      </w:r>
      <w:r w:rsidRPr="002A697C">
        <w:rPr>
          <w:rFonts w:ascii="Times New Roman" w:hAnsi="Times New Roman" w:cs="Times New Roman"/>
          <w:noProof/>
          <w:sz w:val="24"/>
          <w:szCs w:val="24"/>
        </w:rPr>
        <w:tab/>
        <w:t xml:space="preserve">Bonifaz,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The efficacy and safety of sertaconazole cream (2 %) in diaper </w:t>
      </w:r>
      <w:r w:rsidRPr="002A697C">
        <w:rPr>
          <w:rFonts w:ascii="Times New Roman" w:hAnsi="Times New Roman" w:cs="Times New Roman"/>
          <w:noProof/>
          <w:sz w:val="24"/>
          <w:szCs w:val="24"/>
        </w:rPr>
        <w:lastRenderedPageBreak/>
        <w:t xml:space="preserve">dermatitis  candidiasis. </w:t>
      </w:r>
      <w:r w:rsidRPr="002A697C">
        <w:rPr>
          <w:rFonts w:ascii="Times New Roman" w:hAnsi="Times New Roman" w:cs="Times New Roman"/>
          <w:i/>
          <w:iCs/>
          <w:noProof/>
          <w:sz w:val="24"/>
          <w:szCs w:val="24"/>
        </w:rPr>
        <w:t>Mycopathologia</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175</w:t>
      </w:r>
      <w:r w:rsidRPr="002A697C">
        <w:rPr>
          <w:rFonts w:ascii="Times New Roman" w:hAnsi="Times New Roman" w:cs="Times New Roman"/>
          <w:noProof/>
          <w:sz w:val="24"/>
          <w:szCs w:val="24"/>
        </w:rPr>
        <w:t>, 249–254 (2013).</w:t>
      </w:r>
    </w:p>
    <w:p w14:paraId="3FB8C28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47.</w:t>
      </w:r>
      <w:r w:rsidRPr="002A697C">
        <w:rPr>
          <w:rFonts w:ascii="Times New Roman" w:hAnsi="Times New Roman" w:cs="Times New Roman"/>
          <w:noProof/>
          <w:sz w:val="24"/>
          <w:szCs w:val="24"/>
        </w:rPr>
        <w:tab/>
        <w:t xml:space="preserve">Vila, T., Ishida, K., Seabra, S. H. &amp; Rozental, S. Miltefosine inhibits Candida albicans and non-albicans Candida spp. biofilms and  impairs the dispersion of infectious cells. </w:t>
      </w:r>
      <w:r w:rsidRPr="002A697C">
        <w:rPr>
          <w:rFonts w:ascii="Times New Roman" w:hAnsi="Times New Roman" w:cs="Times New Roman"/>
          <w:i/>
          <w:iCs/>
          <w:noProof/>
          <w:sz w:val="24"/>
          <w:szCs w:val="24"/>
        </w:rPr>
        <w:t>Int. J. Antimicrob. Agents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48</w:t>
      </w:r>
      <w:r w:rsidRPr="002A697C">
        <w:rPr>
          <w:rFonts w:ascii="Times New Roman" w:hAnsi="Times New Roman" w:cs="Times New Roman"/>
          <w:noProof/>
          <w:sz w:val="24"/>
          <w:szCs w:val="24"/>
        </w:rPr>
        <w:t>, 512–520 (2016).</w:t>
      </w:r>
    </w:p>
    <w:p w14:paraId="2E0AE20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48.</w:t>
      </w:r>
      <w:r w:rsidRPr="002A697C">
        <w:rPr>
          <w:rFonts w:ascii="Times New Roman" w:hAnsi="Times New Roman" w:cs="Times New Roman"/>
          <w:noProof/>
          <w:sz w:val="24"/>
          <w:szCs w:val="24"/>
        </w:rPr>
        <w:tab/>
        <w:t xml:space="preserve">Dischler, N.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Wortmannin and Wortmannine Analogues from an Undescribed Niesslia sp. </w:t>
      </w:r>
      <w:r w:rsidRPr="002A697C">
        <w:rPr>
          <w:rFonts w:ascii="Times New Roman" w:hAnsi="Times New Roman" w:cs="Times New Roman"/>
          <w:i/>
          <w:iCs/>
          <w:noProof/>
          <w:sz w:val="24"/>
          <w:szCs w:val="24"/>
        </w:rPr>
        <w:t>J. Nat. Prod.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82</w:t>
      </w:r>
      <w:r w:rsidRPr="002A697C">
        <w:rPr>
          <w:rFonts w:ascii="Times New Roman" w:hAnsi="Times New Roman" w:cs="Times New Roman"/>
          <w:noProof/>
          <w:sz w:val="24"/>
          <w:szCs w:val="24"/>
        </w:rPr>
        <w:t>, 532–538 (2019).</w:t>
      </w:r>
    </w:p>
    <w:p w14:paraId="728DD020"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49.</w:t>
      </w:r>
      <w:r w:rsidRPr="002A697C">
        <w:rPr>
          <w:rFonts w:ascii="Times New Roman" w:hAnsi="Times New Roman" w:cs="Times New Roman"/>
          <w:noProof/>
          <w:sz w:val="24"/>
          <w:szCs w:val="24"/>
        </w:rPr>
        <w:tab/>
        <w:t xml:space="preserve">Beggs, W. H. Fungicidal activity of tioconazole in relation to growth phase of Candida albicans  and Candida parapsilosis.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26</w:t>
      </w:r>
      <w:r w:rsidRPr="002A697C">
        <w:rPr>
          <w:rFonts w:ascii="Times New Roman" w:hAnsi="Times New Roman" w:cs="Times New Roman"/>
          <w:noProof/>
          <w:sz w:val="24"/>
          <w:szCs w:val="24"/>
        </w:rPr>
        <w:t>, 699–701 (1984).</w:t>
      </w:r>
    </w:p>
    <w:p w14:paraId="4576548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50.</w:t>
      </w:r>
      <w:r w:rsidRPr="002A697C">
        <w:rPr>
          <w:rFonts w:ascii="Times New Roman" w:hAnsi="Times New Roman" w:cs="Times New Roman"/>
          <w:noProof/>
          <w:sz w:val="24"/>
          <w:szCs w:val="24"/>
        </w:rPr>
        <w:tab/>
        <w:t xml:space="preserve">Taghipour,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Luliconazole, a new antifungal against Candida species isolated from different  sources. </w:t>
      </w:r>
      <w:r w:rsidRPr="002A697C">
        <w:rPr>
          <w:rFonts w:ascii="Times New Roman" w:hAnsi="Times New Roman" w:cs="Times New Roman"/>
          <w:i/>
          <w:iCs/>
          <w:noProof/>
          <w:sz w:val="24"/>
          <w:szCs w:val="24"/>
        </w:rPr>
        <w:t>J. Mycol.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28</w:t>
      </w:r>
      <w:r w:rsidRPr="002A697C">
        <w:rPr>
          <w:rFonts w:ascii="Times New Roman" w:hAnsi="Times New Roman" w:cs="Times New Roman"/>
          <w:noProof/>
          <w:sz w:val="24"/>
          <w:szCs w:val="24"/>
        </w:rPr>
        <w:t>, 374–378 (2018).</w:t>
      </w:r>
    </w:p>
    <w:p w14:paraId="6796D261"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51.</w:t>
      </w:r>
      <w:r w:rsidRPr="002A697C">
        <w:rPr>
          <w:rFonts w:ascii="Times New Roman" w:hAnsi="Times New Roman" w:cs="Times New Roman"/>
          <w:noProof/>
          <w:sz w:val="24"/>
          <w:szCs w:val="24"/>
        </w:rPr>
        <w:tab/>
        <w:t xml:space="preserve">Ryder, N. S. Terbinafine: mode of action and properties of the squalene epoxidase inhibition. </w:t>
      </w:r>
      <w:r w:rsidRPr="002A697C">
        <w:rPr>
          <w:rFonts w:ascii="Times New Roman" w:hAnsi="Times New Roman" w:cs="Times New Roman"/>
          <w:i/>
          <w:iCs/>
          <w:noProof/>
          <w:sz w:val="24"/>
          <w:szCs w:val="24"/>
        </w:rPr>
        <w:t>Br. J. Dermatol.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126 Suppl</w:t>
      </w:r>
      <w:r w:rsidRPr="002A697C">
        <w:rPr>
          <w:rFonts w:ascii="Times New Roman" w:hAnsi="Times New Roman" w:cs="Times New Roman"/>
          <w:noProof/>
          <w:sz w:val="24"/>
          <w:szCs w:val="24"/>
        </w:rPr>
        <w:t>, 2–7 (1992).</w:t>
      </w:r>
    </w:p>
    <w:p w14:paraId="2011CAAD"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52.</w:t>
      </w:r>
      <w:r w:rsidRPr="002A697C">
        <w:rPr>
          <w:rFonts w:ascii="Times New Roman" w:hAnsi="Times New Roman" w:cs="Times New Roman"/>
          <w:noProof/>
          <w:sz w:val="24"/>
          <w:szCs w:val="24"/>
        </w:rPr>
        <w:tab/>
        <w:t xml:space="preserve">Chen, Z.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Synergistic Activity of Econazole-Nitrate and Chelerythrine against Clinical  Isolates of Candida albicans. </w:t>
      </w:r>
      <w:r w:rsidRPr="002A697C">
        <w:rPr>
          <w:rFonts w:ascii="Times New Roman" w:hAnsi="Times New Roman" w:cs="Times New Roman"/>
          <w:i/>
          <w:iCs/>
          <w:noProof/>
          <w:sz w:val="24"/>
          <w:szCs w:val="24"/>
        </w:rPr>
        <w:t>Iran. J. Pharm. Res.  IJPR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13</w:t>
      </w:r>
      <w:r w:rsidRPr="002A697C">
        <w:rPr>
          <w:rFonts w:ascii="Times New Roman" w:hAnsi="Times New Roman" w:cs="Times New Roman"/>
          <w:noProof/>
          <w:sz w:val="24"/>
          <w:szCs w:val="24"/>
        </w:rPr>
        <w:t>, 567–573 (2014).</w:t>
      </w:r>
    </w:p>
    <w:p w14:paraId="659916D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53.</w:t>
      </w:r>
      <w:r w:rsidRPr="002A697C">
        <w:rPr>
          <w:rFonts w:ascii="Times New Roman" w:hAnsi="Times New Roman" w:cs="Times New Roman"/>
          <w:noProof/>
          <w:sz w:val="24"/>
          <w:szCs w:val="24"/>
        </w:rPr>
        <w:tab/>
        <w:t xml:space="preserve">Yamaguchi, H., Hiratani, T. &amp; Plempel, M. In vitro studies of a new imidazole antimycotic, bifonazole, in comparison with  clotrimazole and miconazole. </w:t>
      </w:r>
      <w:r w:rsidRPr="002A697C">
        <w:rPr>
          <w:rFonts w:ascii="Times New Roman" w:hAnsi="Times New Roman" w:cs="Times New Roman"/>
          <w:i/>
          <w:iCs/>
          <w:noProof/>
          <w:sz w:val="24"/>
          <w:szCs w:val="24"/>
        </w:rPr>
        <w:t>Arzneimittelforschung.</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33</w:t>
      </w:r>
      <w:r w:rsidRPr="002A697C">
        <w:rPr>
          <w:rFonts w:ascii="Times New Roman" w:hAnsi="Times New Roman" w:cs="Times New Roman"/>
          <w:noProof/>
          <w:sz w:val="24"/>
          <w:szCs w:val="24"/>
        </w:rPr>
        <w:t>, 546–551 (1983).</w:t>
      </w:r>
    </w:p>
    <w:p w14:paraId="3D0E986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54.</w:t>
      </w:r>
      <w:r w:rsidRPr="002A697C">
        <w:rPr>
          <w:rFonts w:ascii="Times New Roman" w:hAnsi="Times New Roman" w:cs="Times New Roman"/>
          <w:noProof/>
          <w:sz w:val="24"/>
          <w:szCs w:val="24"/>
        </w:rPr>
        <w:tab/>
        <w:t xml:space="preserve">Niewerth,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Ciclopirox olamine treatment affects the expression pattern of Candida albicans  genes encoding virulence factors, iron metabolism proteins, and drug resistance factors.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47</w:t>
      </w:r>
      <w:r w:rsidRPr="002A697C">
        <w:rPr>
          <w:rFonts w:ascii="Times New Roman" w:hAnsi="Times New Roman" w:cs="Times New Roman"/>
          <w:noProof/>
          <w:sz w:val="24"/>
          <w:szCs w:val="24"/>
        </w:rPr>
        <w:t>, 1805–1817 (2003).</w:t>
      </w:r>
    </w:p>
    <w:p w14:paraId="73F8FD1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55.</w:t>
      </w:r>
      <w:r w:rsidRPr="002A697C">
        <w:rPr>
          <w:rFonts w:ascii="Times New Roman" w:hAnsi="Times New Roman" w:cs="Times New Roman"/>
          <w:noProof/>
          <w:sz w:val="24"/>
          <w:szCs w:val="24"/>
        </w:rPr>
        <w:tab/>
        <w:t xml:space="preserve">Lima, T. C., Ferreira, A. R., Silva, D. F., Lima, E. O. &amp; de Sousa, D. P. Antifungal activity of cinnamic acid and benzoic acid esters against Candida  albicans strains. </w:t>
      </w:r>
      <w:r w:rsidRPr="002A697C">
        <w:rPr>
          <w:rFonts w:ascii="Times New Roman" w:hAnsi="Times New Roman" w:cs="Times New Roman"/>
          <w:i/>
          <w:iCs/>
          <w:noProof/>
          <w:sz w:val="24"/>
          <w:szCs w:val="24"/>
        </w:rPr>
        <w:t xml:space="preserve">Nat. </w:t>
      </w:r>
      <w:r w:rsidRPr="002A697C">
        <w:rPr>
          <w:rFonts w:ascii="Times New Roman" w:hAnsi="Times New Roman" w:cs="Times New Roman"/>
          <w:i/>
          <w:iCs/>
          <w:noProof/>
          <w:sz w:val="24"/>
          <w:szCs w:val="24"/>
        </w:rPr>
        <w:lastRenderedPageBreak/>
        <w:t>Prod. Res.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32</w:t>
      </w:r>
      <w:r w:rsidRPr="002A697C">
        <w:rPr>
          <w:rFonts w:ascii="Times New Roman" w:hAnsi="Times New Roman" w:cs="Times New Roman"/>
          <w:noProof/>
          <w:sz w:val="24"/>
          <w:szCs w:val="24"/>
        </w:rPr>
        <w:t>, 572–575 (2018).</w:t>
      </w:r>
    </w:p>
    <w:p w14:paraId="3211F6C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56.</w:t>
      </w:r>
      <w:r w:rsidRPr="002A697C">
        <w:rPr>
          <w:rFonts w:ascii="Times New Roman" w:hAnsi="Times New Roman" w:cs="Times New Roman"/>
          <w:noProof/>
          <w:sz w:val="24"/>
          <w:szCs w:val="24"/>
        </w:rPr>
        <w:tab/>
        <w:t xml:space="preserve">Polak, A. Oxiconazole, a new imidazole derivative. Evaluation of antifungal activity in vitro  and in vivo. </w:t>
      </w:r>
      <w:r w:rsidRPr="002A697C">
        <w:rPr>
          <w:rFonts w:ascii="Times New Roman" w:hAnsi="Times New Roman" w:cs="Times New Roman"/>
          <w:i/>
          <w:iCs/>
          <w:noProof/>
          <w:sz w:val="24"/>
          <w:szCs w:val="24"/>
        </w:rPr>
        <w:t>Arzneimittelforschung.</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32</w:t>
      </w:r>
      <w:r w:rsidRPr="002A697C">
        <w:rPr>
          <w:rFonts w:ascii="Times New Roman" w:hAnsi="Times New Roman" w:cs="Times New Roman"/>
          <w:noProof/>
          <w:sz w:val="24"/>
          <w:szCs w:val="24"/>
        </w:rPr>
        <w:t>, 17–24 (1982).</w:t>
      </w:r>
    </w:p>
    <w:p w14:paraId="76351CB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57.</w:t>
      </w:r>
      <w:r w:rsidRPr="002A697C">
        <w:rPr>
          <w:rFonts w:ascii="Times New Roman" w:hAnsi="Times New Roman" w:cs="Times New Roman"/>
          <w:noProof/>
          <w:sz w:val="24"/>
          <w:szCs w:val="24"/>
        </w:rPr>
        <w:tab/>
        <w:t xml:space="preserve">Fontenelle, R. O.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Alkylphenol Activity against Candida spp. and Microsporum canis: A Focus on the  Antifungal Activity of Thymol, Eugenol and O-Methyl Derivatives. </w:t>
      </w:r>
      <w:r w:rsidRPr="002A697C">
        <w:rPr>
          <w:rFonts w:ascii="Times New Roman" w:hAnsi="Times New Roman" w:cs="Times New Roman"/>
          <w:i/>
          <w:iCs/>
          <w:noProof/>
          <w:sz w:val="24"/>
          <w:szCs w:val="24"/>
        </w:rPr>
        <w:t>Molecules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16</w:t>
      </w:r>
      <w:r w:rsidRPr="002A697C">
        <w:rPr>
          <w:rFonts w:ascii="Times New Roman" w:hAnsi="Times New Roman" w:cs="Times New Roman"/>
          <w:noProof/>
          <w:sz w:val="24"/>
          <w:szCs w:val="24"/>
        </w:rPr>
        <w:t>, 6422–6431 (2011).</w:t>
      </w:r>
    </w:p>
    <w:p w14:paraId="6E9B6BF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58.</w:t>
      </w:r>
      <w:r w:rsidRPr="002A697C">
        <w:rPr>
          <w:rFonts w:ascii="Times New Roman" w:hAnsi="Times New Roman" w:cs="Times New Roman"/>
          <w:noProof/>
          <w:sz w:val="24"/>
          <w:szCs w:val="24"/>
        </w:rPr>
        <w:tab/>
        <w:t xml:space="preserve">Gebremedhin, S., Dorocka-Bobkowska, B., Prylinski, M., Konopka, K. &amp; Duzgunes, N. Miconazole activity against Candida biofilms developed on acrylic discs. </w:t>
      </w:r>
      <w:r w:rsidRPr="002A697C">
        <w:rPr>
          <w:rFonts w:ascii="Times New Roman" w:hAnsi="Times New Roman" w:cs="Times New Roman"/>
          <w:i/>
          <w:iCs/>
          <w:noProof/>
          <w:sz w:val="24"/>
          <w:szCs w:val="24"/>
        </w:rPr>
        <w:t>J. Physiol. Pharmacol.  an Off. J. Polish  Physiol. Soc.</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65</w:t>
      </w:r>
      <w:r w:rsidRPr="002A697C">
        <w:rPr>
          <w:rFonts w:ascii="Times New Roman" w:hAnsi="Times New Roman" w:cs="Times New Roman"/>
          <w:noProof/>
          <w:sz w:val="24"/>
          <w:szCs w:val="24"/>
        </w:rPr>
        <w:t>, 593–600 (2014).</w:t>
      </w:r>
    </w:p>
    <w:p w14:paraId="5B89309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59.</w:t>
      </w:r>
      <w:r w:rsidRPr="002A697C">
        <w:rPr>
          <w:rFonts w:ascii="Times New Roman" w:hAnsi="Times New Roman" w:cs="Times New Roman"/>
          <w:noProof/>
          <w:sz w:val="24"/>
          <w:szCs w:val="24"/>
        </w:rPr>
        <w:tab/>
        <w:t xml:space="preserve">Farber, B. F. &amp; Wolff, A. G. Salicylic acid prevents the adherence of bacteria and yeast to silastic catheters. </w:t>
      </w:r>
      <w:r w:rsidRPr="002A697C">
        <w:rPr>
          <w:rFonts w:ascii="Times New Roman" w:hAnsi="Times New Roman" w:cs="Times New Roman"/>
          <w:i/>
          <w:iCs/>
          <w:noProof/>
          <w:sz w:val="24"/>
          <w:szCs w:val="24"/>
        </w:rPr>
        <w:t>J. Biomed. Mater. Res.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27</w:t>
      </w:r>
      <w:r w:rsidRPr="002A697C">
        <w:rPr>
          <w:rFonts w:ascii="Times New Roman" w:hAnsi="Times New Roman" w:cs="Times New Roman"/>
          <w:noProof/>
          <w:sz w:val="24"/>
          <w:szCs w:val="24"/>
        </w:rPr>
        <w:t>, 599–602 (1993).</w:t>
      </w:r>
    </w:p>
    <w:p w14:paraId="391A705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60.</w:t>
      </w:r>
      <w:r w:rsidRPr="002A697C">
        <w:rPr>
          <w:rFonts w:ascii="Times New Roman" w:hAnsi="Times New Roman" w:cs="Times New Roman"/>
          <w:noProof/>
          <w:sz w:val="24"/>
          <w:szCs w:val="24"/>
        </w:rPr>
        <w:tab/>
        <w:t xml:space="preserve">Lei, J., Xu, J. &amp; Wang, T. In vitro susceptibility of Candida spp. to fluconazole, itraconazole and  voriconazole and the correlation between triazoles susceptibility: Results from a five-year study. </w:t>
      </w:r>
      <w:r w:rsidRPr="002A697C">
        <w:rPr>
          <w:rFonts w:ascii="Times New Roman" w:hAnsi="Times New Roman" w:cs="Times New Roman"/>
          <w:i/>
          <w:iCs/>
          <w:noProof/>
          <w:sz w:val="24"/>
          <w:szCs w:val="24"/>
        </w:rPr>
        <w:t>J. Mycol.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28</w:t>
      </w:r>
      <w:r w:rsidRPr="002A697C">
        <w:rPr>
          <w:rFonts w:ascii="Times New Roman" w:hAnsi="Times New Roman" w:cs="Times New Roman"/>
          <w:noProof/>
          <w:sz w:val="24"/>
          <w:szCs w:val="24"/>
        </w:rPr>
        <w:t>, 310–313 (2018).</w:t>
      </w:r>
    </w:p>
    <w:p w14:paraId="4655999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61.</w:t>
      </w:r>
      <w:r w:rsidRPr="002A697C">
        <w:rPr>
          <w:rFonts w:ascii="Times New Roman" w:hAnsi="Times New Roman" w:cs="Times New Roman"/>
          <w:noProof/>
          <w:sz w:val="24"/>
          <w:szCs w:val="24"/>
        </w:rPr>
        <w:tab/>
        <w:t xml:space="preserve">Ceberio, I.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Safety of voriconazole and sirolimus coadministration after allogeneic hematopoietic  SCT. </w:t>
      </w:r>
      <w:r w:rsidRPr="002A697C">
        <w:rPr>
          <w:rFonts w:ascii="Times New Roman" w:hAnsi="Times New Roman" w:cs="Times New Roman"/>
          <w:i/>
          <w:iCs/>
          <w:noProof/>
          <w:sz w:val="24"/>
          <w:szCs w:val="24"/>
        </w:rPr>
        <w:t>Bone Marrow Transplant.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50</w:t>
      </w:r>
      <w:r w:rsidRPr="002A697C">
        <w:rPr>
          <w:rFonts w:ascii="Times New Roman" w:hAnsi="Times New Roman" w:cs="Times New Roman"/>
          <w:noProof/>
          <w:sz w:val="24"/>
          <w:szCs w:val="24"/>
        </w:rPr>
        <w:t>, 438–443 (2015).</w:t>
      </w:r>
    </w:p>
    <w:p w14:paraId="5CF3299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62.</w:t>
      </w:r>
      <w:r w:rsidRPr="002A697C">
        <w:rPr>
          <w:rFonts w:ascii="Times New Roman" w:hAnsi="Times New Roman" w:cs="Times New Roman"/>
          <w:noProof/>
          <w:sz w:val="24"/>
          <w:szCs w:val="24"/>
        </w:rPr>
        <w:tab/>
        <w:t xml:space="preserve">Daneshmend, T. K. &amp; Warnock, D. W. Clinical pharmacokinetics of ketoconazole. </w:t>
      </w:r>
      <w:r w:rsidRPr="002A697C">
        <w:rPr>
          <w:rFonts w:ascii="Times New Roman" w:hAnsi="Times New Roman" w:cs="Times New Roman"/>
          <w:i/>
          <w:iCs/>
          <w:noProof/>
          <w:sz w:val="24"/>
          <w:szCs w:val="24"/>
        </w:rPr>
        <w:t>Clin. Pharmacokinet.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14</w:t>
      </w:r>
      <w:r w:rsidRPr="002A697C">
        <w:rPr>
          <w:rFonts w:ascii="Times New Roman" w:hAnsi="Times New Roman" w:cs="Times New Roman"/>
          <w:noProof/>
          <w:sz w:val="24"/>
          <w:szCs w:val="24"/>
        </w:rPr>
        <w:t>, 13–34 (1988).</w:t>
      </w:r>
    </w:p>
    <w:p w14:paraId="778ECAC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63.</w:t>
      </w:r>
      <w:r w:rsidRPr="002A697C">
        <w:rPr>
          <w:rFonts w:ascii="Times New Roman" w:hAnsi="Times New Roman" w:cs="Times New Roman"/>
          <w:noProof/>
          <w:sz w:val="24"/>
          <w:szCs w:val="24"/>
        </w:rPr>
        <w:tab/>
        <w:t xml:space="preserve">Lu, I.-L.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Structure-Based Drug Design and Structural Biology Study of Novel Nonpeptide Inhibitors of Severe Acute Respiratory Syndrome Coronavirus Main Protease.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49</w:t>
      </w:r>
      <w:r w:rsidRPr="002A697C">
        <w:rPr>
          <w:rFonts w:ascii="Times New Roman" w:hAnsi="Times New Roman" w:cs="Times New Roman"/>
          <w:noProof/>
          <w:sz w:val="24"/>
          <w:szCs w:val="24"/>
        </w:rPr>
        <w:t>, 5154–5161 (2006).</w:t>
      </w:r>
    </w:p>
    <w:p w14:paraId="3C07624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64.</w:t>
      </w:r>
      <w:r w:rsidRPr="002A697C">
        <w:rPr>
          <w:rFonts w:ascii="Times New Roman" w:hAnsi="Times New Roman" w:cs="Times New Roman"/>
          <w:noProof/>
          <w:sz w:val="24"/>
          <w:szCs w:val="24"/>
        </w:rPr>
        <w:tab/>
        <w:t xml:space="preserve">Verschueren, K. H. G.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 structural view of the inactivation of the SARS coronavirus main proteinase by benzotriazole esters. </w:t>
      </w:r>
      <w:r w:rsidRPr="002A697C">
        <w:rPr>
          <w:rFonts w:ascii="Times New Roman" w:hAnsi="Times New Roman" w:cs="Times New Roman"/>
          <w:i/>
          <w:iCs/>
          <w:noProof/>
          <w:sz w:val="24"/>
          <w:szCs w:val="24"/>
        </w:rPr>
        <w:t>Chem. 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15</w:t>
      </w:r>
      <w:r w:rsidRPr="002A697C">
        <w:rPr>
          <w:rFonts w:ascii="Times New Roman" w:hAnsi="Times New Roman" w:cs="Times New Roman"/>
          <w:noProof/>
          <w:sz w:val="24"/>
          <w:szCs w:val="24"/>
        </w:rPr>
        <w:t>, 597–606 (2008).</w:t>
      </w:r>
    </w:p>
    <w:p w14:paraId="025334F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lastRenderedPageBreak/>
        <w:t>65.</w:t>
      </w:r>
      <w:r w:rsidRPr="002A697C">
        <w:rPr>
          <w:rFonts w:ascii="Times New Roman" w:hAnsi="Times New Roman" w:cs="Times New Roman"/>
          <w:noProof/>
          <w:sz w:val="24"/>
          <w:szCs w:val="24"/>
        </w:rPr>
        <w:tab/>
        <w:t xml:space="preserve">Bacha, U.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Development of Broad-Spectrum Halomethyl Ketone Inhibitors Against Coronavirus Main Protease 3CLpro. </w:t>
      </w:r>
      <w:r w:rsidRPr="002A697C">
        <w:rPr>
          <w:rFonts w:ascii="Times New Roman" w:hAnsi="Times New Roman" w:cs="Times New Roman"/>
          <w:i/>
          <w:iCs/>
          <w:noProof/>
          <w:sz w:val="24"/>
          <w:szCs w:val="24"/>
        </w:rPr>
        <w:t>Chem. Biol. Drug Des.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72</w:t>
      </w:r>
      <w:r w:rsidRPr="002A697C">
        <w:rPr>
          <w:rFonts w:ascii="Times New Roman" w:hAnsi="Times New Roman" w:cs="Times New Roman"/>
          <w:noProof/>
          <w:sz w:val="24"/>
          <w:szCs w:val="24"/>
        </w:rPr>
        <w:t>, 34–49 (2008).</w:t>
      </w:r>
    </w:p>
    <w:p w14:paraId="4D23870D"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66.</w:t>
      </w:r>
      <w:r w:rsidRPr="002A697C">
        <w:rPr>
          <w:rFonts w:ascii="Times New Roman" w:hAnsi="Times New Roman" w:cs="Times New Roman"/>
          <w:noProof/>
          <w:sz w:val="24"/>
          <w:szCs w:val="24"/>
        </w:rPr>
        <w:tab/>
        <w:t xml:space="preserve">Goetz, D. H.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Substrate Specificity Profiling and Identification of a New Class of Inhibitor for the Major Protease of the SARS Coronavirus,. </w:t>
      </w:r>
      <w:r w:rsidRPr="002A697C">
        <w:rPr>
          <w:rFonts w:ascii="Times New Roman" w:hAnsi="Times New Roman" w:cs="Times New Roman"/>
          <w:i/>
          <w:iCs/>
          <w:noProof/>
          <w:sz w:val="24"/>
          <w:szCs w:val="24"/>
        </w:rPr>
        <w:t>Biochemistry</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46</w:t>
      </w:r>
      <w:r w:rsidRPr="002A697C">
        <w:rPr>
          <w:rFonts w:ascii="Times New Roman" w:hAnsi="Times New Roman" w:cs="Times New Roman"/>
          <w:noProof/>
          <w:sz w:val="24"/>
          <w:szCs w:val="24"/>
        </w:rPr>
        <w:t>, 8744–8752 (2007).</w:t>
      </w:r>
    </w:p>
    <w:p w14:paraId="6700D4B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67.</w:t>
      </w:r>
      <w:r w:rsidRPr="002A697C">
        <w:rPr>
          <w:rFonts w:ascii="Times New Roman" w:hAnsi="Times New Roman" w:cs="Times New Roman"/>
          <w:noProof/>
          <w:sz w:val="24"/>
          <w:szCs w:val="24"/>
        </w:rPr>
        <w:tab/>
        <w:t xml:space="preserve">Hoetelmans, R.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Clinical pharmacology of HIV protease inhibitors: focus on saquinavir, indinavir,  and ritonavir. </w:t>
      </w:r>
      <w:r w:rsidRPr="002A697C">
        <w:rPr>
          <w:rFonts w:ascii="Times New Roman" w:hAnsi="Times New Roman" w:cs="Times New Roman"/>
          <w:i/>
          <w:iCs/>
          <w:noProof/>
          <w:sz w:val="24"/>
          <w:szCs w:val="24"/>
        </w:rPr>
        <w:t>Pharm. World Sci.</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19</w:t>
      </w:r>
      <w:r w:rsidRPr="002A697C">
        <w:rPr>
          <w:rFonts w:ascii="Times New Roman" w:hAnsi="Times New Roman" w:cs="Times New Roman"/>
          <w:noProof/>
          <w:sz w:val="24"/>
          <w:szCs w:val="24"/>
        </w:rPr>
        <w:t>, 159–175 (1997).</w:t>
      </w:r>
    </w:p>
    <w:p w14:paraId="25ED5CE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68.</w:t>
      </w:r>
      <w:r w:rsidRPr="002A697C">
        <w:rPr>
          <w:rFonts w:ascii="Times New Roman" w:hAnsi="Times New Roman" w:cs="Times New Roman"/>
          <w:noProof/>
          <w:sz w:val="24"/>
          <w:szCs w:val="24"/>
        </w:rPr>
        <w:tab/>
        <w:t xml:space="preserve">Hull, M. W. &amp; Montaner, J. S. G. Ritonavir-boosted protease inhibitors in HIV therapy. </w:t>
      </w:r>
      <w:r w:rsidRPr="002A697C">
        <w:rPr>
          <w:rFonts w:ascii="Times New Roman" w:hAnsi="Times New Roman" w:cs="Times New Roman"/>
          <w:i/>
          <w:iCs/>
          <w:noProof/>
          <w:sz w:val="24"/>
          <w:szCs w:val="24"/>
        </w:rPr>
        <w:t>Ann.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43</w:t>
      </w:r>
      <w:r w:rsidRPr="002A697C">
        <w:rPr>
          <w:rFonts w:ascii="Times New Roman" w:hAnsi="Times New Roman" w:cs="Times New Roman"/>
          <w:noProof/>
          <w:sz w:val="24"/>
          <w:szCs w:val="24"/>
        </w:rPr>
        <w:t>, 375–388 (2011).</w:t>
      </w:r>
    </w:p>
    <w:p w14:paraId="1E11DD6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69.</w:t>
      </w:r>
      <w:r w:rsidRPr="002A697C">
        <w:rPr>
          <w:rFonts w:ascii="Times New Roman" w:hAnsi="Times New Roman" w:cs="Times New Roman"/>
          <w:noProof/>
          <w:sz w:val="24"/>
          <w:szCs w:val="24"/>
        </w:rPr>
        <w:tab/>
        <w:t xml:space="preserve">Sadler, B. M., Hanson, C. D., Chittick, G. E., Symonds, W. T. &amp; Roskell, N. S. Safety and pharmacokinetics of amprenavir (141W94), a human immunodeficiency virus  (HIV) type 1 protease inhibitor, following oral administration of single doses to HIV-infected adults.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43</w:t>
      </w:r>
      <w:r w:rsidRPr="002A697C">
        <w:rPr>
          <w:rFonts w:ascii="Times New Roman" w:hAnsi="Times New Roman" w:cs="Times New Roman"/>
          <w:noProof/>
          <w:sz w:val="24"/>
          <w:szCs w:val="24"/>
        </w:rPr>
        <w:t>, 1686–1692 (1999).</w:t>
      </w:r>
    </w:p>
    <w:p w14:paraId="2E67062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70.</w:t>
      </w:r>
      <w:r w:rsidRPr="002A697C">
        <w:rPr>
          <w:rFonts w:ascii="Times New Roman" w:hAnsi="Times New Roman" w:cs="Times New Roman"/>
          <w:noProof/>
          <w:sz w:val="24"/>
          <w:szCs w:val="24"/>
        </w:rPr>
        <w:tab/>
        <w:t xml:space="preserve">Luna, B. &amp; Townsend, M. U. Tipranavir: the first nonpeptidic protease inhibitor for the treatment of protease  resistance. </w:t>
      </w:r>
      <w:r w:rsidRPr="002A697C">
        <w:rPr>
          <w:rFonts w:ascii="Times New Roman" w:hAnsi="Times New Roman" w:cs="Times New Roman"/>
          <w:i/>
          <w:iCs/>
          <w:noProof/>
          <w:sz w:val="24"/>
          <w:szCs w:val="24"/>
        </w:rPr>
        <w:t>Clin.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29</w:t>
      </w:r>
      <w:r w:rsidRPr="002A697C">
        <w:rPr>
          <w:rFonts w:ascii="Times New Roman" w:hAnsi="Times New Roman" w:cs="Times New Roman"/>
          <w:noProof/>
          <w:sz w:val="24"/>
          <w:szCs w:val="24"/>
        </w:rPr>
        <w:t>, 2309–2318 (2007).</w:t>
      </w:r>
    </w:p>
    <w:p w14:paraId="4163717D"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71.</w:t>
      </w:r>
      <w:r w:rsidRPr="002A697C">
        <w:rPr>
          <w:rFonts w:ascii="Times New Roman" w:hAnsi="Times New Roman" w:cs="Times New Roman"/>
          <w:noProof/>
          <w:sz w:val="24"/>
          <w:szCs w:val="24"/>
        </w:rPr>
        <w:tab/>
        <w:t xml:space="preserve">Croom, K. F., Dhillon, S. &amp; Keam, S. J. Atazanavir: a review of its use in the management of HIV-1 infection. </w:t>
      </w:r>
      <w:r w:rsidRPr="002A697C">
        <w:rPr>
          <w:rFonts w:ascii="Times New Roman" w:hAnsi="Times New Roman" w:cs="Times New Roman"/>
          <w:i/>
          <w:iCs/>
          <w:noProof/>
          <w:sz w:val="24"/>
          <w:szCs w:val="24"/>
        </w:rPr>
        <w:t>Drugs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69</w:t>
      </w:r>
      <w:r w:rsidRPr="002A697C">
        <w:rPr>
          <w:rFonts w:ascii="Times New Roman" w:hAnsi="Times New Roman" w:cs="Times New Roman"/>
          <w:noProof/>
          <w:sz w:val="24"/>
          <w:szCs w:val="24"/>
        </w:rPr>
        <w:t>, 1107–1140 (2009).</w:t>
      </w:r>
    </w:p>
    <w:p w14:paraId="1F059D2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72.</w:t>
      </w:r>
      <w:r w:rsidRPr="002A697C">
        <w:rPr>
          <w:rFonts w:ascii="Times New Roman" w:hAnsi="Times New Roman" w:cs="Times New Roman"/>
          <w:noProof/>
          <w:sz w:val="24"/>
          <w:szCs w:val="24"/>
        </w:rPr>
        <w:tab/>
        <w:t xml:space="preserve">De Clercq, E. Anti-HIV drugs: 25 compounds approved within 25 years after the discovery of HIV. </w:t>
      </w:r>
      <w:r w:rsidRPr="002A697C">
        <w:rPr>
          <w:rFonts w:ascii="Times New Roman" w:hAnsi="Times New Roman" w:cs="Times New Roman"/>
          <w:i/>
          <w:iCs/>
          <w:noProof/>
          <w:sz w:val="24"/>
          <w:szCs w:val="24"/>
        </w:rPr>
        <w:t>Int. J. Antimicrob. Agents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33</w:t>
      </w:r>
      <w:r w:rsidRPr="002A697C">
        <w:rPr>
          <w:rFonts w:ascii="Times New Roman" w:hAnsi="Times New Roman" w:cs="Times New Roman"/>
          <w:noProof/>
          <w:sz w:val="24"/>
          <w:szCs w:val="24"/>
        </w:rPr>
        <w:t>, 307–320 (2009).</w:t>
      </w:r>
    </w:p>
    <w:p w14:paraId="356ACBB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73.</w:t>
      </w:r>
      <w:r w:rsidRPr="002A697C">
        <w:rPr>
          <w:rFonts w:ascii="Times New Roman" w:hAnsi="Times New Roman" w:cs="Times New Roman"/>
          <w:noProof/>
          <w:sz w:val="24"/>
          <w:szCs w:val="24"/>
        </w:rPr>
        <w:tab/>
        <w:t xml:space="preserve">Lalezari, J. P., Ward, D. J., Tomkins, S. A. &amp; Garges, H. P. Preliminary safety and efficacy data of brecanavir, a novel HIV-1 protease  inhibitor: 24 week data from study HPR10006. </w:t>
      </w:r>
      <w:r w:rsidRPr="002A697C">
        <w:rPr>
          <w:rFonts w:ascii="Times New Roman" w:hAnsi="Times New Roman" w:cs="Times New Roman"/>
          <w:i/>
          <w:iCs/>
          <w:noProof/>
          <w:sz w:val="24"/>
          <w:szCs w:val="24"/>
        </w:rPr>
        <w:t>J. Antimicrob.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60</w:t>
      </w:r>
      <w:r w:rsidRPr="002A697C">
        <w:rPr>
          <w:rFonts w:ascii="Times New Roman" w:hAnsi="Times New Roman" w:cs="Times New Roman"/>
          <w:noProof/>
          <w:sz w:val="24"/>
          <w:szCs w:val="24"/>
        </w:rPr>
        <w:t>, 170–174 (2007).</w:t>
      </w:r>
    </w:p>
    <w:p w14:paraId="5D16108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74.</w:t>
      </w:r>
      <w:r w:rsidRPr="002A697C">
        <w:rPr>
          <w:rFonts w:ascii="Times New Roman" w:hAnsi="Times New Roman" w:cs="Times New Roman"/>
          <w:noProof/>
          <w:sz w:val="24"/>
          <w:szCs w:val="24"/>
        </w:rPr>
        <w:tab/>
        <w:t xml:space="preserve">Kaldor, S. W.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Viracept (nelfinavir mesylate, AG1343): a potent, orally </w:t>
      </w:r>
      <w:r w:rsidRPr="002A697C">
        <w:rPr>
          <w:rFonts w:ascii="Times New Roman" w:hAnsi="Times New Roman" w:cs="Times New Roman"/>
          <w:noProof/>
          <w:sz w:val="24"/>
          <w:szCs w:val="24"/>
        </w:rPr>
        <w:lastRenderedPageBreak/>
        <w:t xml:space="preserve">bioavailable inhibitor of  HIV-1 protease.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40</w:t>
      </w:r>
      <w:r w:rsidRPr="002A697C">
        <w:rPr>
          <w:rFonts w:ascii="Times New Roman" w:hAnsi="Times New Roman" w:cs="Times New Roman"/>
          <w:noProof/>
          <w:sz w:val="24"/>
          <w:szCs w:val="24"/>
        </w:rPr>
        <w:t>, 3979–3985 (1997).</w:t>
      </w:r>
    </w:p>
    <w:p w14:paraId="32861910"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75.</w:t>
      </w:r>
      <w:r w:rsidRPr="002A697C">
        <w:rPr>
          <w:rFonts w:ascii="Times New Roman" w:hAnsi="Times New Roman" w:cs="Times New Roman"/>
          <w:noProof/>
          <w:sz w:val="24"/>
          <w:szCs w:val="24"/>
        </w:rPr>
        <w:tab/>
        <w:t xml:space="preserve">Dierynck, I.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TMC310911, a novel human immunodeficiency virus type 1 protease inhibitor, shows in  vitro an improved resistance profile and higher genetic barrier to resistance compared with current protease inhibitors.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55</w:t>
      </w:r>
      <w:r w:rsidRPr="002A697C">
        <w:rPr>
          <w:rFonts w:ascii="Times New Roman" w:hAnsi="Times New Roman" w:cs="Times New Roman"/>
          <w:noProof/>
          <w:sz w:val="24"/>
          <w:szCs w:val="24"/>
        </w:rPr>
        <w:t>, 5723–5731 (2011).</w:t>
      </w:r>
    </w:p>
    <w:p w14:paraId="5D7C4FD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76.</w:t>
      </w:r>
      <w:r w:rsidRPr="002A697C">
        <w:rPr>
          <w:rFonts w:ascii="Times New Roman" w:hAnsi="Times New Roman" w:cs="Times New Roman"/>
          <w:noProof/>
          <w:sz w:val="24"/>
          <w:szCs w:val="24"/>
        </w:rPr>
        <w:tab/>
        <w:t xml:space="preserve">Izquierdo, L.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Simeprevir for the treatment of hepatitis C virus infection. </w:t>
      </w:r>
      <w:r w:rsidRPr="002A697C">
        <w:rPr>
          <w:rFonts w:ascii="Times New Roman" w:hAnsi="Times New Roman" w:cs="Times New Roman"/>
          <w:i/>
          <w:iCs/>
          <w:noProof/>
          <w:sz w:val="24"/>
          <w:szCs w:val="24"/>
        </w:rPr>
        <w:t>Pharmgenomics. Pers.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w:t>
      </w:r>
      <w:r w:rsidRPr="002A697C">
        <w:rPr>
          <w:rFonts w:ascii="Times New Roman" w:hAnsi="Times New Roman" w:cs="Times New Roman"/>
          <w:noProof/>
          <w:sz w:val="24"/>
          <w:szCs w:val="24"/>
        </w:rPr>
        <w:t>, 241–249 (2014).</w:t>
      </w:r>
    </w:p>
    <w:p w14:paraId="0510649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77.</w:t>
      </w:r>
      <w:r w:rsidRPr="002A697C">
        <w:rPr>
          <w:rFonts w:ascii="Times New Roman" w:hAnsi="Times New Roman" w:cs="Times New Roman"/>
          <w:noProof/>
          <w:sz w:val="24"/>
          <w:szCs w:val="24"/>
        </w:rPr>
        <w:tab/>
        <w:t xml:space="preserve">Cotter, T. G. &amp; Jensen, D. M. Glecaprevir/pibrentasvir for the treatment of chronic hepatitis C: design,  development, and place in therapy. </w:t>
      </w:r>
      <w:r w:rsidRPr="002A697C">
        <w:rPr>
          <w:rFonts w:ascii="Times New Roman" w:hAnsi="Times New Roman" w:cs="Times New Roman"/>
          <w:i/>
          <w:iCs/>
          <w:noProof/>
          <w:sz w:val="24"/>
          <w:szCs w:val="24"/>
        </w:rPr>
        <w:t>Drug Des. Devel.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13</w:t>
      </w:r>
      <w:r w:rsidRPr="002A697C">
        <w:rPr>
          <w:rFonts w:ascii="Times New Roman" w:hAnsi="Times New Roman" w:cs="Times New Roman"/>
          <w:noProof/>
          <w:sz w:val="24"/>
          <w:szCs w:val="24"/>
        </w:rPr>
        <w:t>, 2565–2577 (2019).</w:t>
      </w:r>
    </w:p>
    <w:p w14:paraId="60F0D5F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78.</w:t>
      </w:r>
      <w:r w:rsidRPr="002A697C">
        <w:rPr>
          <w:rFonts w:ascii="Times New Roman" w:hAnsi="Times New Roman" w:cs="Times New Roman"/>
          <w:noProof/>
          <w:sz w:val="24"/>
          <w:szCs w:val="24"/>
        </w:rPr>
        <w:tab/>
        <w:t xml:space="preserve">Slater, M. J.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Pyrrolidine-5,5-trans-lactams. 4. Incorporation of a P3/P4 Urea Leads to Potent Intracellular Inhibitors of Hepatitis C Virus NS3/4A Protease. </w:t>
      </w:r>
      <w:r w:rsidRPr="002A697C">
        <w:rPr>
          <w:rFonts w:ascii="Times New Roman" w:hAnsi="Times New Roman" w:cs="Times New Roman"/>
          <w:i/>
          <w:iCs/>
          <w:noProof/>
          <w:sz w:val="24"/>
          <w:szCs w:val="24"/>
        </w:rPr>
        <w:t>Org. Lett.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w:t>
      </w:r>
      <w:r w:rsidRPr="002A697C">
        <w:rPr>
          <w:rFonts w:ascii="Times New Roman" w:hAnsi="Times New Roman" w:cs="Times New Roman"/>
          <w:noProof/>
          <w:sz w:val="24"/>
          <w:szCs w:val="24"/>
        </w:rPr>
        <w:t>, 4627–4630 (2003).</w:t>
      </w:r>
    </w:p>
    <w:p w14:paraId="124E4DE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79.</w:t>
      </w:r>
      <w:r w:rsidRPr="002A697C">
        <w:rPr>
          <w:rFonts w:ascii="Times New Roman" w:hAnsi="Times New Roman" w:cs="Times New Roman"/>
          <w:noProof/>
          <w:sz w:val="24"/>
          <w:szCs w:val="24"/>
        </w:rPr>
        <w:tab/>
        <w:t xml:space="preserve">Gentile, I.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Asunaprevir, a protease inhibitor for the treatment of hepatitis C infection. </w:t>
      </w:r>
      <w:r w:rsidRPr="002A697C">
        <w:rPr>
          <w:rFonts w:ascii="Times New Roman" w:hAnsi="Times New Roman" w:cs="Times New Roman"/>
          <w:i/>
          <w:iCs/>
          <w:noProof/>
          <w:sz w:val="24"/>
          <w:szCs w:val="24"/>
        </w:rPr>
        <w:t>Ther Clin Risk Manag.</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w:t>
      </w:r>
      <w:r w:rsidRPr="002A697C">
        <w:rPr>
          <w:rFonts w:ascii="Times New Roman" w:hAnsi="Times New Roman" w:cs="Times New Roman"/>
          <w:noProof/>
          <w:sz w:val="24"/>
          <w:szCs w:val="24"/>
        </w:rPr>
        <w:t>, 493–504 (2014).</w:t>
      </w:r>
    </w:p>
    <w:p w14:paraId="610EC46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80.</w:t>
      </w:r>
      <w:r w:rsidRPr="002A697C">
        <w:rPr>
          <w:rFonts w:ascii="Times New Roman" w:hAnsi="Times New Roman" w:cs="Times New Roman"/>
          <w:noProof/>
          <w:sz w:val="24"/>
          <w:szCs w:val="24"/>
        </w:rPr>
        <w:tab/>
        <w:t xml:space="preserve">Forestier, N. &amp; Zeuzem, S. Telaprevir for the treatment of hepatitis C. </w:t>
      </w:r>
      <w:r w:rsidRPr="002A697C">
        <w:rPr>
          <w:rFonts w:ascii="Times New Roman" w:hAnsi="Times New Roman" w:cs="Times New Roman"/>
          <w:i/>
          <w:iCs/>
          <w:noProof/>
          <w:sz w:val="24"/>
          <w:szCs w:val="24"/>
        </w:rPr>
        <w:t>Expert Opin. Pharmacother.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13</w:t>
      </w:r>
      <w:r w:rsidRPr="002A697C">
        <w:rPr>
          <w:rFonts w:ascii="Times New Roman" w:hAnsi="Times New Roman" w:cs="Times New Roman"/>
          <w:noProof/>
          <w:sz w:val="24"/>
          <w:szCs w:val="24"/>
        </w:rPr>
        <w:t>, 593–606 (2012).</w:t>
      </w:r>
    </w:p>
    <w:p w14:paraId="0E923D9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81.</w:t>
      </w:r>
      <w:r w:rsidRPr="002A697C">
        <w:rPr>
          <w:rFonts w:ascii="Times New Roman" w:hAnsi="Times New Roman" w:cs="Times New Roman"/>
          <w:noProof/>
          <w:sz w:val="24"/>
          <w:szCs w:val="24"/>
        </w:rPr>
        <w:tab/>
        <w:t xml:space="preserve">Treitel,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Single-dose pharmacokinetics of boceprevir in subjects with impaired hepatic or  renal function. </w:t>
      </w:r>
      <w:r w:rsidRPr="002A697C">
        <w:rPr>
          <w:rFonts w:ascii="Times New Roman" w:hAnsi="Times New Roman" w:cs="Times New Roman"/>
          <w:i/>
          <w:iCs/>
          <w:noProof/>
          <w:sz w:val="24"/>
          <w:szCs w:val="24"/>
        </w:rPr>
        <w:t>Clin. Pharmacokinet.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51</w:t>
      </w:r>
      <w:r w:rsidRPr="002A697C">
        <w:rPr>
          <w:rFonts w:ascii="Times New Roman" w:hAnsi="Times New Roman" w:cs="Times New Roman"/>
          <w:noProof/>
          <w:sz w:val="24"/>
          <w:szCs w:val="24"/>
        </w:rPr>
        <w:t>, 619–628 (2012).</w:t>
      </w:r>
    </w:p>
    <w:p w14:paraId="1B51F2A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82.</w:t>
      </w:r>
      <w:r w:rsidRPr="002A697C">
        <w:rPr>
          <w:rFonts w:ascii="Times New Roman" w:hAnsi="Times New Roman" w:cs="Times New Roman"/>
          <w:noProof/>
          <w:sz w:val="24"/>
          <w:szCs w:val="24"/>
        </w:rPr>
        <w:tab/>
        <w:t xml:space="preserve">Klibanov, O. M., Gale, S. E. &amp; Santevecchi, B. Ombitasvir/paritaprevir/ritonavir and dasabuvir tablets for hepatitis C virus  genotype 1 infection. </w:t>
      </w:r>
      <w:r w:rsidRPr="002A697C">
        <w:rPr>
          <w:rFonts w:ascii="Times New Roman" w:hAnsi="Times New Roman" w:cs="Times New Roman"/>
          <w:i/>
          <w:iCs/>
          <w:noProof/>
          <w:sz w:val="24"/>
          <w:szCs w:val="24"/>
        </w:rPr>
        <w:t>Ann. Pharmacother.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49</w:t>
      </w:r>
      <w:r w:rsidRPr="002A697C">
        <w:rPr>
          <w:rFonts w:ascii="Times New Roman" w:hAnsi="Times New Roman" w:cs="Times New Roman"/>
          <w:noProof/>
          <w:sz w:val="24"/>
          <w:szCs w:val="24"/>
        </w:rPr>
        <w:t>, 566–581 (2015).</w:t>
      </w:r>
    </w:p>
    <w:p w14:paraId="31D76D0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83.</w:t>
      </w:r>
      <w:r w:rsidRPr="002A697C">
        <w:rPr>
          <w:rFonts w:ascii="Times New Roman" w:hAnsi="Times New Roman" w:cs="Times New Roman"/>
          <w:noProof/>
          <w:sz w:val="24"/>
          <w:szCs w:val="24"/>
        </w:rPr>
        <w:tab/>
        <w:t xml:space="preserve">Sulejmani, N. &amp; Jafri, S.-M. Grazoprevir/elbasvir for the treatment of adults with </w:t>
      </w:r>
      <w:r w:rsidRPr="002A697C">
        <w:rPr>
          <w:rFonts w:ascii="Times New Roman" w:hAnsi="Times New Roman" w:cs="Times New Roman"/>
          <w:noProof/>
          <w:sz w:val="24"/>
          <w:szCs w:val="24"/>
        </w:rPr>
        <w:lastRenderedPageBreak/>
        <w:t xml:space="preserve">chronic hepatitis C: a short  review on the clinical evidence and place in therapy. </w:t>
      </w:r>
      <w:r w:rsidRPr="002A697C">
        <w:rPr>
          <w:rFonts w:ascii="Times New Roman" w:hAnsi="Times New Roman" w:cs="Times New Roman"/>
          <w:i/>
          <w:iCs/>
          <w:noProof/>
          <w:sz w:val="24"/>
          <w:szCs w:val="24"/>
        </w:rPr>
        <w:t>Hepat.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w:t>
      </w:r>
      <w:r w:rsidRPr="002A697C">
        <w:rPr>
          <w:rFonts w:ascii="Times New Roman" w:hAnsi="Times New Roman" w:cs="Times New Roman"/>
          <w:noProof/>
          <w:sz w:val="24"/>
          <w:szCs w:val="24"/>
        </w:rPr>
        <w:t>, 33–42 (2018).</w:t>
      </w:r>
    </w:p>
    <w:p w14:paraId="307E766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84.</w:t>
      </w:r>
      <w:r w:rsidRPr="002A697C">
        <w:rPr>
          <w:rFonts w:ascii="Times New Roman" w:hAnsi="Times New Roman" w:cs="Times New Roman"/>
          <w:noProof/>
          <w:sz w:val="24"/>
          <w:szCs w:val="24"/>
        </w:rPr>
        <w:tab/>
        <w:t xml:space="preserve">Bourlière,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Sofosbuvir, Velpatasvir, and Voxilaprevir for Previously Treated HCV Infection. </w:t>
      </w:r>
      <w:r w:rsidRPr="002A697C">
        <w:rPr>
          <w:rFonts w:ascii="Times New Roman" w:hAnsi="Times New Roman" w:cs="Times New Roman"/>
          <w:i/>
          <w:iCs/>
          <w:noProof/>
          <w:sz w:val="24"/>
          <w:szCs w:val="24"/>
        </w:rPr>
        <w:t>N. Engl. J.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376</w:t>
      </w:r>
      <w:r w:rsidRPr="002A697C">
        <w:rPr>
          <w:rFonts w:ascii="Times New Roman" w:hAnsi="Times New Roman" w:cs="Times New Roman"/>
          <w:noProof/>
          <w:sz w:val="24"/>
          <w:szCs w:val="24"/>
        </w:rPr>
        <w:t>, 2134–2146 (2017).</w:t>
      </w:r>
    </w:p>
    <w:p w14:paraId="7E90B3C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85.</w:t>
      </w:r>
      <w:r w:rsidRPr="002A697C">
        <w:rPr>
          <w:rFonts w:ascii="Times New Roman" w:hAnsi="Times New Roman" w:cs="Times New Roman"/>
          <w:noProof/>
          <w:sz w:val="24"/>
          <w:szCs w:val="24"/>
        </w:rPr>
        <w:tab/>
        <w:t xml:space="preserve">Thomson, J. A. &amp; Perni, R. B. Hepatitis C virus NS3-4A protease inhibitors: countering viral subversion in vitro  and showing promise in the clinic. </w:t>
      </w:r>
      <w:r w:rsidRPr="002A697C">
        <w:rPr>
          <w:rFonts w:ascii="Times New Roman" w:hAnsi="Times New Roman" w:cs="Times New Roman"/>
          <w:i/>
          <w:iCs/>
          <w:noProof/>
          <w:sz w:val="24"/>
          <w:szCs w:val="24"/>
        </w:rPr>
        <w:t>Curr. Opin. Drug Discov. Devel.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9</w:t>
      </w:r>
      <w:r w:rsidRPr="002A697C">
        <w:rPr>
          <w:rFonts w:ascii="Times New Roman" w:hAnsi="Times New Roman" w:cs="Times New Roman"/>
          <w:noProof/>
          <w:sz w:val="24"/>
          <w:szCs w:val="24"/>
        </w:rPr>
        <w:t>, 606–617 (2006).</w:t>
      </w:r>
    </w:p>
    <w:p w14:paraId="104E47F1"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86.</w:t>
      </w:r>
      <w:r w:rsidRPr="002A697C">
        <w:rPr>
          <w:rFonts w:ascii="Times New Roman" w:hAnsi="Times New Roman" w:cs="Times New Roman"/>
          <w:noProof/>
          <w:sz w:val="24"/>
          <w:szCs w:val="24"/>
        </w:rPr>
        <w:tab/>
        <w:t xml:space="preserve">Miao, M., Jing, X., De Clercq, E. &amp; Li, G. Danoprevir for the Treatment of Hepatitis C Virus Infection: Design, Development,  and Place in Therapy. </w:t>
      </w:r>
      <w:r w:rsidRPr="002A697C">
        <w:rPr>
          <w:rFonts w:ascii="Times New Roman" w:hAnsi="Times New Roman" w:cs="Times New Roman"/>
          <w:i/>
          <w:iCs/>
          <w:noProof/>
          <w:sz w:val="24"/>
          <w:szCs w:val="24"/>
        </w:rPr>
        <w:t>Drug Des. Devel.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14</w:t>
      </w:r>
      <w:r w:rsidRPr="002A697C">
        <w:rPr>
          <w:rFonts w:ascii="Times New Roman" w:hAnsi="Times New Roman" w:cs="Times New Roman"/>
          <w:noProof/>
          <w:sz w:val="24"/>
          <w:szCs w:val="24"/>
        </w:rPr>
        <w:t>, 2759–2774 (2020).</w:t>
      </w:r>
    </w:p>
    <w:p w14:paraId="262AB042"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87.</w:t>
      </w:r>
      <w:r w:rsidRPr="002A697C">
        <w:rPr>
          <w:rFonts w:ascii="Times New Roman" w:hAnsi="Times New Roman" w:cs="Times New Roman"/>
          <w:noProof/>
          <w:sz w:val="24"/>
          <w:szCs w:val="24"/>
        </w:rPr>
        <w:tab/>
        <w:t xml:space="preserve">Eltahla, A. A., Tay, E., Douglas, M. W. &amp; White, P. A. Cross-genotypic examination of hepatitis C virus polymerase inhibitors reveals a  novel mechanism of action for thumb binders.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58</w:t>
      </w:r>
      <w:r w:rsidRPr="002A697C">
        <w:rPr>
          <w:rFonts w:ascii="Times New Roman" w:hAnsi="Times New Roman" w:cs="Times New Roman"/>
          <w:noProof/>
          <w:sz w:val="24"/>
          <w:szCs w:val="24"/>
        </w:rPr>
        <w:t>, 7215–7224 (2014).</w:t>
      </w:r>
    </w:p>
    <w:p w14:paraId="4EB8A74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88.</w:t>
      </w:r>
      <w:r w:rsidRPr="002A697C">
        <w:rPr>
          <w:rFonts w:ascii="Times New Roman" w:hAnsi="Times New Roman" w:cs="Times New Roman"/>
          <w:noProof/>
          <w:sz w:val="24"/>
          <w:szCs w:val="24"/>
        </w:rPr>
        <w:tab/>
        <w:t xml:space="preserve">Sun, L.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Small-molecule inhibition of Aurora kinases triggers spindle checkpoint-independent  apoptosis in cancer cells. </w:t>
      </w:r>
      <w:r w:rsidRPr="002A697C">
        <w:rPr>
          <w:rFonts w:ascii="Times New Roman" w:hAnsi="Times New Roman" w:cs="Times New Roman"/>
          <w:i/>
          <w:iCs/>
          <w:noProof/>
          <w:sz w:val="24"/>
          <w:szCs w:val="24"/>
        </w:rPr>
        <w:t>Biochem. Pharmacol.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75</w:t>
      </w:r>
      <w:r w:rsidRPr="002A697C">
        <w:rPr>
          <w:rFonts w:ascii="Times New Roman" w:hAnsi="Times New Roman" w:cs="Times New Roman"/>
          <w:noProof/>
          <w:sz w:val="24"/>
          <w:szCs w:val="24"/>
        </w:rPr>
        <w:t>, 1027–1034 (2008).</w:t>
      </w:r>
    </w:p>
    <w:p w14:paraId="1CF6E7D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89.</w:t>
      </w:r>
      <w:r w:rsidRPr="002A697C">
        <w:rPr>
          <w:rFonts w:ascii="Times New Roman" w:hAnsi="Times New Roman" w:cs="Times New Roman"/>
          <w:noProof/>
          <w:sz w:val="24"/>
          <w:szCs w:val="24"/>
        </w:rPr>
        <w:tab/>
        <w:t xml:space="preserve">Heinzlmeir,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Chemical Proteomics and Structural Biology Define EPHA2 Inhibition by Clinical  Kinase Drugs. </w:t>
      </w:r>
      <w:r w:rsidRPr="002A697C">
        <w:rPr>
          <w:rFonts w:ascii="Times New Roman" w:hAnsi="Times New Roman" w:cs="Times New Roman"/>
          <w:i/>
          <w:iCs/>
          <w:noProof/>
          <w:sz w:val="24"/>
          <w:szCs w:val="24"/>
        </w:rPr>
        <w:t>ACS Chem. 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11</w:t>
      </w:r>
      <w:r w:rsidRPr="002A697C">
        <w:rPr>
          <w:rFonts w:ascii="Times New Roman" w:hAnsi="Times New Roman" w:cs="Times New Roman"/>
          <w:noProof/>
          <w:sz w:val="24"/>
          <w:szCs w:val="24"/>
        </w:rPr>
        <w:t>, 3400–3411 (2016).</w:t>
      </w:r>
    </w:p>
    <w:p w14:paraId="4729567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90.</w:t>
      </w:r>
      <w:r w:rsidRPr="002A697C">
        <w:rPr>
          <w:rFonts w:ascii="Times New Roman" w:hAnsi="Times New Roman" w:cs="Times New Roman"/>
          <w:noProof/>
          <w:sz w:val="24"/>
          <w:szCs w:val="24"/>
        </w:rPr>
        <w:tab/>
        <w:t xml:space="preserve">Oslob, J. D.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Discovery of a potent and selective aurora kinase inhibitor. </w:t>
      </w:r>
      <w:r w:rsidRPr="002A697C">
        <w:rPr>
          <w:rFonts w:ascii="Times New Roman" w:hAnsi="Times New Roman" w:cs="Times New Roman"/>
          <w:i/>
          <w:iCs/>
          <w:noProof/>
          <w:sz w:val="24"/>
          <w:szCs w:val="24"/>
        </w:rPr>
        <w:t>Bioorg. Med. Chem. Lett.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18</w:t>
      </w:r>
      <w:r w:rsidRPr="002A697C">
        <w:rPr>
          <w:rFonts w:ascii="Times New Roman" w:hAnsi="Times New Roman" w:cs="Times New Roman"/>
          <w:noProof/>
          <w:sz w:val="24"/>
          <w:szCs w:val="24"/>
        </w:rPr>
        <w:t>, 4880–4884 (2008).</w:t>
      </w:r>
    </w:p>
    <w:p w14:paraId="17E7A70B"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91.</w:t>
      </w:r>
      <w:r w:rsidRPr="002A697C">
        <w:rPr>
          <w:rFonts w:ascii="Times New Roman" w:hAnsi="Times New Roman" w:cs="Times New Roman"/>
          <w:noProof/>
          <w:sz w:val="24"/>
          <w:szCs w:val="24"/>
        </w:rPr>
        <w:tab/>
        <w:t xml:space="preserve">Ewart-Toland, A.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Aurora-A/STK15 T+91A is a general low penetrance cancer susceptibility gene: a  meta-analysis of multiple cancer types. </w:t>
      </w:r>
      <w:r w:rsidRPr="002A697C">
        <w:rPr>
          <w:rFonts w:ascii="Times New Roman" w:hAnsi="Times New Roman" w:cs="Times New Roman"/>
          <w:i/>
          <w:iCs/>
          <w:noProof/>
          <w:sz w:val="24"/>
          <w:szCs w:val="24"/>
        </w:rPr>
        <w:t>Carcinogenesis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26</w:t>
      </w:r>
      <w:r w:rsidRPr="002A697C">
        <w:rPr>
          <w:rFonts w:ascii="Times New Roman" w:hAnsi="Times New Roman" w:cs="Times New Roman"/>
          <w:noProof/>
          <w:sz w:val="24"/>
          <w:szCs w:val="24"/>
        </w:rPr>
        <w:t>, 1368–1373 (2005).</w:t>
      </w:r>
    </w:p>
    <w:p w14:paraId="2D001C3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92.</w:t>
      </w:r>
      <w:r w:rsidRPr="002A697C">
        <w:rPr>
          <w:rFonts w:ascii="Times New Roman" w:hAnsi="Times New Roman" w:cs="Times New Roman"/>
          <w:noProof/>
          <w:sz w:val="24"/>
          <w:szCs w:val="24"/>
        </w:rPr>
        <w:tab/>
        <w:t xml:space="preserve">Pacaud, R., Cheray, M., Nadaradjane, A., Vallette, F. M. &amp; Cartron, P.-F. Histone H3 </w:t>
      </w:r>
      <w:r w:rsidRPr="002A697C">
        <w:rPr>
          <w:rFonts w:ascii="Times New Roman" w:hAnsi="Times New Roman" w:cs="Times New Roman"/>
          <w:noProof/>
          <w:sz w:val="24"/>
          <w:szCs w:val="24"/>
        </w:rPr>
        <w:lastRenderedPageBreak/>
        <w:t xml:space="preserve">phosphorylation in GBM: a new rational to guide the use of kinase  inhibitors in anti-GBM therapy. </w:t>
      </w:r>
      <w:r w:rsidRPr="002A697C">
        <w:rPr>
          <w:rFonts w:ascii="Times New Roman" w:hAnsi="Times New Roman" w:cs="Times New Roman"/>
          <w:i/>
          <w:iCs/>
          <w:noProof/>
          <w:sz w:val="24"/>
          <w:szCs w:val="24"/>
        </w:rPr>
        <w:t>Theranostics</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w:t>
      </w:r>
      <w:r w:rsidRPr="002A697C">
        <w:rPr>
          <w:rFonts w:ascii="Times New Roman" w:hAnsi="Times New Roman" w:cs="Times New Roman"/>
          <w:noProof/>
          <w:sz w:val="24"/>
          <w:szCs w:val="24"/>
        </w:rPr>
        <w:t>, 12–22 (2015).</w:t>
      </w:r>
    </w:p>
    <w:p w14:paraId="78479EA1"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93.</w:t>
      </w:r>
      <w:r w:rsidRPr="002A697C">
        <w:rPr>
          <w:rFonts w:ascii="Times New Roman" w:hAnsi="Times New Roman" w:cs="Times New Roman"/>
          <w:noProof/>
          <w:sz w:val="24"/>
          <w:szCs w:val="24"/>
        </w:rPr>
        <w:tab/>
        <w:t xml:space="preserve">Fancelli, D.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1,4,5,6-tetrahydropyrrolo[3,4-c]pyrazoles: identification of a potent Aurora kinase  inhibitor with a favorable antitumor kinase inhibition profile.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49</w:t>
      </w:r>
      <w:r w:rsidRPr="002A697C">
        <w:rPr>
          <w:rFonts w:ascii="Times New Roman" w:hAnsi="Times New Roman" w:cs="Times New Roman"/>
          <w:noProof/>
          <w:sz w:val="24"/>
          <w:szCs w:val="24"/>
        </w:rPr>
        <w:t>, 7247–7251 (2006).</w:t>
      </w:r>
    </w:p>
    <w:p w14:paraId="6E9D843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94.</w:t>
      </w:r>
      <w:r w:rsidRPr="002A697C">
        <w:rPr>
          <w:rFonts w:ascii="Times New Roman" w:hAnsi="Times New Roman" w:cs="Times New Roman"/>
          <w:noProof/>
          <w:sz w:val="24"/>
          <w:szCs w:val="24"/>
        </w:rPr>
        <w:tab/>
        <w:t xml:space="preserve">Rawson, T. E.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 pentacyclic aurora kinase inhibitor (AKI-001) with high in vivo potency and oral  bioavailability.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51</w:t>
      </w:r>
      <w:r w:rsidRPr="002A697C">
        <w:rPr>
          <w:rFonts w:ascii="Times New Roman" w:hAnsi="Times New Roman" w:cs="Times New Roman"/>
          <w:noProof/>
          <w:sz w:val="24"/>
          <w:szCs w:val="24"/>
        </w:rPr>
        <w:t>, 4465–4475 (2008).</w:t>
      </w:r>
    </w:p>
    <w:p w14:paraId="2BE62A6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95.</w:t>
      </w:r>
      <w:r w:rsidRPr="002A697C">
        <w:rPr>
          <w:rFonts w:ascii="Times New Roman" w:hAnsi="Times New Roman" w:cs="Times New Roman"/>
          <w:noProof/>
          <w:sz w:val="24"/>
          <w:szCs w:val="24"/>
        </w:rPr>
        <w:tab/>
        <w:t xml:space="preserve">Oslob, J. D.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Crystal structure of mouse Aurora A (Asn186-&gt;Gly, Lys240-&gt;Arg, Met302-&gt;Leu) in complex with 1-{5-[2-(1-methyl-1H-pyrazolo[4,3-d]pyrimidin-7-ylamino)-ethyl]-thiazol-2-yl}-3-(3-trifluoromethyl-phenyl)-urea. https://www.rcsb.org/structure/3d2i doi:10.2210/pdb3D2I/pdb.</w:t>
      </w:r>
    </w:p>
    <w:p w14:paraId="37F5144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96.</w:t>
      </w:r>
      <w:r w:rsidRPr="002A697C">
        <w:rPr>
          <w:rFonts w:ascii="Times New Roman" w:hAnsi="Times New Roman" w:cs="Times New Roman"/>
          <w:noProof/>
          <w:sz w:val="24"/>
          <w:szCs w:val="24"/>
        </w:rPr>
        <w:tab/>
        <w:t xml:space="preserve">Tari, L. W.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Structural basis for the inhibition of Aurora A kinase by a novel class of high  affinity disubstituted pyrimidine inhibitors. </w:t>
      </w:r>
      <w:r w:rsidRPr="002A697C">
        <w:rPr>
          <w:rFonts w:ascii="Times New Roman" w:hAnsi="Times New Roman" w:cs="Times New Roman"/>
          <w:i/>
          <w:iCs/>
          <w:noProof/>
          <w:sz w:val="24"/>
          <w:szCs w:val="24"/>
        </w:rPr>
        <w:t>Bioorg. Med. Chem. Lett.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17</w:t>
      </w:r>
      <w:r w:rsidRPr="002A697C">
        <w:rPr>
          <w:rFonts w:ascii="Times New Roman" w:hAnsi="Times New Roman" w:cs="Times New Roman"/>
          <w:noProof/>
          <w:sz w:val="24"/>
          <w:szCs w:val="24"/>
        </w:rPr>
        <w:t>, 688–691 (2007).</w:t>
      </w:r>
    </w:p>
    <w:p w14:paraId="50178204"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97.</w:t>
      </w:r>
      <w:r w:rsidRPr="002A697C">
        <w:rPr>
          <w:rFonts w:ascii="Times New Roman" w:hAnsi="Times New Roman" w:cs="Times New Roman"/>
          <w:noProof/>
          <w:sz w:val="24"/>
          <w:szCs w:val="24"/>
        </w:rPr>
        <w:tab/>
        <w:t xml:space="preserve">Cancilla, M. T.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Discovery of an Aurora kinase inhibitor through site-specific dynamic combinatorial  chemistry. </w:t>
      </w:r>
      <w:r w:rsidRPr="002A697C">
        <w:rPr>
          <w:rFonts w:ascii="Times New Roman" w:hAnsi="Times New Roman" w:cs="Times New Roman"/>
          <w:i/>
          <w:iCs/>
          <w:noProof/>
          <w:sz w:val="24"/>
          <w:szCs w:val="24"/>
        </w:rPr>
        <w:t>Bioorg. Med. Chem. Lett.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18</w:t>
      </w:r>
      <w:r w:rsidRPr="002A697C">
        <w:rPr>
          <w:rFonts w:ascii="Times New Roman" w:hAnsi="Times New Roman" w:cs="Times New Roman"/>
          <w:noProof/>
          <w:sz w:val="24"/>
          <w:szCs w:val="24"/>
        </w:rPr>
        <w:t>, 3978–3981 (2008).</w:t>
      </w:r>
    </w:p>
    <w:p w14:paraId="30E3C35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98.</w:t>
      </w:r>
      <w:r w:rsidRPr="002A697C">
        <w:rPr>
          <w:rFonts w:ascii="Times New Roman" w:hAnsi="Times New Roman" w:cs="Times New Roman"/>
          <w:noProof/>
          <w:sz w:val="24"/>
          <w:szCs w:val="24"/>
        </w:rPr>
        <w:tab/>
        <w:t xml:space="preserve">Howard,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Fragment-based discovery of the pyrazol-4-yl urea (AT9283), a multitargeted kinase  inhibitor with potent aurora kinase activity.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52</w:t>
      </w:r>
      <w:r w:rsidRPr="002A697C">
        <w:rPr>
          <w:rFonts w:ascii="Times New Roman" w:hAnsi="Times New Roman" w:cs="Times New Roman"/>
          <w:noProof/>
          <w:sz w:val="24"/>
          <w:szCs w:val="24"/>
        </w:rPr>
        <w:t>, 379–388 (2009).</w:t>
      </w:r>
    </w:p>
    <w:p w14:paraId="2CC901E6"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99.</w:t>
      </w:r>
      <w:r w:rsidRPr="002A697C">
        <w:rPr>
          <w:rFonts w:ascii="Times New Roman" w:hAnsi="Times New Roman" w:cs="Times New Roman"/>
          <w:noProof/>
          <w:sz w:val="24"/>
          <w:szCs w:val="24"/>
        </w:rPr>
        <w:tab/>
        <w:t xml:space="preserve">Baluom, M., Grossbard, E. B., Mant, T. &amp; Lau, D. T. W. Pharmacokinetics of fostamatinib, a spleen tyrosine kinase (SYK) inhibitor, in  healthy human subjects following single and multiple oral dosing in three phase I studies. </w:t>
      </w:r>
      <w:r w:rsidRPr="002A697C">
        <w:rPr>
          <w:rFonts w:ascii="Times New Roman" w:hAnsi="Times New Roman" w:cs="Times New Roman"/>
          <w:i/>
          <w:iCs/>
          <w:noProof/>
          <w:sz w:val="24"/>
          <w:szCs w:val="24"/>
        </w:rPr>
        <w:t>Br. J. Clin. Pharmacol.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76</w:t>
      </w:r>
      <w:r w:rsidRPr="002A697C">
        <w:rPr>
          <w:rFonts w:ascii="Times New Roman" w:hAnsi="Times New Roman" w:cs="Times New Roman"/>
          <w:noProof/>
          <w:sz w:val="24"/>
          <w:szCs w:val="24"/>
        </w:rPr>
        <w:t>, 78–88 (2013).</w:t>
      </w:r>
    </w:p>
    <w:p w14:paraId="365A979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lastRenderedPageBreak/>
        <w:t>100.</w:t>
      </w:r>
      <w:r w:rsidRPr="002A697C">
        <w:rPr>
          <w:rFonts w:ascii="Times New Roman" w:hAnsi="Times New Roman" w:cs="Times New Roman"/>
          <w:noProof/>
          <w:sz w:val="24"/>
          <w:szCs w:val="24"/>
        </w:rPr>
        <w:tab/>
        <w:t xml:space="preserve">Manfredi, M. G.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Antitumor activity of MLN8054, an orally active small-molecule inhibitor of Aurora A  kinase. </w:t>
      </w:r>
      <w:r w:rsidRPr="002A697C">
        <w:rPr>
          <w:rFonts w:ascii="Times New Roman" w:hAnsi="Times New Roman" w:cs="Times New Roman"/>
          <w:i/>
          <w:iCs/>
          <w:noProof/>
          <w:sz w:val="24"/>
          <w:szCs w:val="24"/>
        </w:rPr>
        <w:t>Proc. Natl. Acad. Sci. U. S. A.</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104</w:t>
      </w:r>
      <w:r w:rsidRPr="002A697C">
        <w:rPr>
          <w:rFonts w:ascii="Times New Roman" w:hAnsi="Times New Roman" w:cs="Times New Roman"/>
          <w:noProof/>
          <w:sz w:val="24"/>
          <w:szCs w:val="24"/>
        </w:rPr>
        <w:t>, 4106–4111 (2007).</w:t>
      </w:r>
    </w:p>
    <w:p w14:paraId="4C7751A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101.</w:t>
      </w:r>
      <w:r w:rsidRPr="002A697C">
        <w:rPr>
          <w:rFonts w:ascii="Times New Roman" w:hAnsi="Times New Roman" w:cs="Times New Roman"/>
          <w:noProof/>
          <w:sz w:val="24"/>
          <w:szCs w:val="24"/>
        </w:rPr>
        <w:tab/>
        <w:t xml:space="preserve">Faivre, S., Demetri, G., Sargent, W. &amp; Raymond, E. Molecular basis for sunitinib efficacy and future clinical development. </w:t>
      </w:r>
      <w:r w:rsidRPr="002A697C">
        <w:rPr>
          <w:rFonts w:ascii="Times New Roman" w:hAnsi="Times New Roman" w:cs="Times New Roman"/>
          <w:i/>
          <w:iCs/>
          <w:noProof/>
          <w:sz w:val="24"/>
          <w:szCs w:val="24"/>
        </w:rPr>
        <w:t>Nature Reviews Drug Discovery</w:t>
      </w:r>
      <w:r w:rsidRPr="002A697C">
        <w:rPr>
          <w:rFonts w:ascii="Times New Roman" w:hAnsi="Times New Roman" w:cs="Times New Roman"/>
          <w:noProof/>
          <w:sz w:val="24"/>
          <w:szCs w:val="24"/>
        </w:rPr>
        <w:t xml:space="preserve"> vol. 6 734–745 (2007).</w:t>
      </w:r>
    </w:p>
    <w:p w14:paraId="18854C6A"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102.</w:t>
      </w:r>
      <w:r w:rsidRPr="002A697C">
        <w:rPr>
          <w:rFonts w:ascii="Times New Roman" w:hAnsi="Times New Roman" w:cs="Times New Roman"/>
          <w:noProof/>
          <w:sz w:val="24"/>
          <w:szCs w:val="24"/>
        </w:rPr>
        <w:tab/>
        <w:t xml:space="preserve">Talpaz, M.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Dasatinib in imatinib-resistant Philadelphia chromosome-positive leukemias. </w:t>
      </w:r>
      <w:r w:rsidRPr="002A697C">
        <w:rPr>
          <w:rFonts w:ascii="Times New Roman" w:hAnsi="Times New Roman" w:cs="Times New Roman"/>
          <w:i/>
          <w:iCs/>
          <w:noProof/>
          <w:sz w:val="24"/>
          <w:szCs w:val="24"/>
        </w:rPr>
        <w:t>N. Engl. J.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354</w:t>
      </w:r>
      <w:r w:rsidRPr="002A697C">
        <w:rPr>
          <w:rFonts w:ascii="Times New Roman" w:hAnsi="Times New Roman" w:cs="Times New Roman"/>
          <w:noProof/>
          <w:sz w:val="24"/>
          <w:szCs w:val="24"/>
        </w:rPr>
        <w:t>, 2531–2541 (2006).</w:t>
      </w:r>
    </w:p>
    <w:p w14:paraId="4CD14DE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103.</w:t>
      </w:r>
      <w:r w:rsidRPr="002A697C">
        <w:rPr>
          <w:rFonts w:ascii="Times New Roman" w:hAnsi="Times New Roman" w:cs="Times New Roman"/>
          <w:noProof/>
          <w:sz w:val="24"/>
          <w:szCs w:val="24"/>
        </w:rPr>
        <w:tab/>
        <w:t xml:space="preserve">Keller-V Amsberg, G. &amp; Brümmendorf, T. H. Novel aspects of therapy with the dual Src and Abl kinase inhibitor bosutinib in  chronic myeloid leukemia. </w:t>
      </w:r>
      <w:r w:rsidRPr="002A697C">
        <w:rPr>
          <w:rFonts w:ascii="Times New Roman" w:hAnsi="Times New Roman" w:cs="Times New Roman"/>
          <w:i/>
          <w:iCs/>
          <w:noProof/>
          <w:sz w:val="24"/>
          <w:szCs w:val="24"/>
        </w:rPr>
        <w:t>Expert Rev. Anticancer 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12</w:t>
      </w:r>
      <w:r w:rsidRPr="002A697C">
        <w:rPr>
          <w:rFonts w:ascii="Times New Roman" w:hAnsi="Times New Roman" w:cs="Times New Roman"/>
          <w:noProof/>
          <w:sz w:val="24"/>
          <w:szCs w:val="24"/>
        </w:rPr>
        <w:t>, 1121–1127 (2012).</w:t>
      </w:r>
    </w:p>
    <w:p w14:paraId="14A791F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104.</w:t>
      </w:r>
      <w:r w:rsidRPr="002A697C">
        <w:rPr>
          <w:rFonts w:ascii="Times New Roman" w:hAnsi="Times New Roman" w:cs="Times New Roman"/>
          <w:noProof/>
          <w:sz w:val="24"/>
          <w:szCs w:val="24"/>
        </w:rPr>
        <w:tab/>
        <w:t xml:space="preserve">Reddy, E. P. &amp; Aggarwal, A. K. The ins and outs of bcr-abl inhibition. </w:t>
      </w:r>
      <w:r w:rsidRPr="002A697C">
        <w:rPr>
          <w:rFonts w:ascii="Times New Roman" w:hAnsi="Times New Roman" w:cs="Times New Roman"/>
          <w:i/>
          <w:iCs/>
          <w:noProof/>
          <w:sz w:val="24"/>
          <w:szCs w:val="24"/>
        </w:rPr>
        <w:t>Genes Cancer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w:t>
      </w:r>
      <w:r w:rsidRPr="002A697C">
        <w:rPr>
          <w:rFonts w:ascii="Times New Roman" w:hAnsi="Times New Roman" w:cs="Times New Roman"/>
          <w:noProof/>
          <w:sz w:val="24"/>
          <w:szCs w:val="24"/>
        </w:rPr>
        <w:t>, 447–454 (2012).</w:t>
      </w:r>
    </w:p>
    <w:p w14:paraId="7B9820F2"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105.</w:t>
      </w:r>
      <w:r w:rsidRPr="002A697C">
        <w:rPr>
          <w:rFonts w:ascii="Times New Roman" w:hAnsi="Times New Roman" w:cs="Times New Roman"/>
          <w:noProof/>
          <w:sz w:val="24"/>
          <w:szCs w:val="24"/>
        </w:rPr>
        <w:tab/>
        <w:t xml:space="preserve">Ahmad, Z., Sharma, S. &amp; Khuller, G. K. Azole antifungals as novel chemotherapeutic agents against murine tuberculosis. </w:t>
      </w:r>
      <w:r w:rsidRPr="002A697C">
        <w:rPr>
          <w:rFonts w:ascii="Times New Roman" w:hAnsi="Times New Roman" w:cs="Times New Roman"/>
          <w:i/>
          <w:iCs/>
          <w:noProof/>
          <w:sz w:val="24"/>
          <w:szCs w:val="24"/>
        </w:rPr>
        <w:t>FEMS Microbiol. Lett.</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261</w:t>
      </w:r>
      <w:r w:rsidRPr="002A697C">
        <w:rPr>
          <w:rFonts w:ascii="Times New Roman" w:hAnsi="Times New Roman" w:cs="Times New Roman"/>
          <w:noProof/>
          <w:sz w:val="24"/>
          <w:szCs w:val="24"/>
        </w:rPr>
        <w:t>, 181–186 (2006).</w:t>
      </w:r>
    </w:p>
    <w:p w14:paraId="1634F12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106.</w:t>
      </w:r>
      <w:r w:rsidRPr="002A697C">
        <w:rPr>
          <w:rFonts w:ascii="Times New Roman" w:hAnsi="Times New Roman" w:cs="Times New Roman"/>
          <w:noProof/>
          <w:sz w:val="24"/>
          <w:szCs w:val="24"/>
        </w:rPr>
        <w:tab/>
        <w:t xml:space="preserve">Byrne, S. T., Denkin, S. M., Gu, P., Nuermberger, E. &amp; Zhang, Y. Activity of ketoconazole against Mycobacterium tuberculosis in vitro and in the  mouse model. </w:t>
      </w:r>
      <w:r w:rsidRPr="002A697C">
        <w:rPr>
          <w:rFonts w:ascii="Times New Roman" w:hAnsi="Times New Roman" w:cs="Times New Roman"/>
          <w:i/>
          <w:iCs/>
          <w:noProof/>
          <w:sz w:val="24"/>
          <w:szCs w:val="24"/>
        </w:rPr>
        <w:t>J. Med. Microbiol.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56</w:t>
      </w:r>
      <w:r w:rsidRPr="002A697C">
        <w:rPr>
          <w:rFonts w:ascii="Times New Roman" w:hAnsi="Times New Roman" w:cs="Times New Roman"/>
          <w:noProof/>
          <w:sz w:val="24"/>
          <w:szCs w:val="24"/>
        </w:rPr>
        <w:t>, 1047–1051 (2007).</w:t>
      </w:r>
    </w:p>
    <w:p w14:paraId="08144E25"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107.</w:t>
      </w:r>
      <w:r w:rsidRPr="002A697C">
        <w:rPr>
          <w:rFonts w:ascii="Times New Roman" w:hAnsi="Times New Roman" w:cs="Times New Roman"/>
          <w:noProof/>
          <w:sz w:val="24"/>
          <w:szCs w:val="24"/>
        </w:rPr>
        <w:tab/>
        <w:t xml:space="preserve">Freundlich, J.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Triclosan derivatives: towards potent inhibitors of drug-sensitive and drug-resistant Mycobacterium tuberculosis. </w:t>
      </w:r>
      <w:r w:rsidRPr="002A697C">
        <w:rPr>
          <w:rFonts w:ascii="Times New Roman" w:hAnsi="Times New Roman" w:cs="Times New Roman"/>
          <w:i/>
          <w:iCs/>
          <w:noProof/>
          <w:sz w:val="24"/>
          <w:szCs w:val="24"/>
        </w:rPr>
        <w:t>ChemMedChem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w:t>
      </w:r>
      <w:r w:rsidRPr="002A697C">
        <w:rPr>
          <w:rFonts w:ascii="Times New Roman" w:hAnsi="Times New Roman" w:cs="Times New Roman"/>
          <w:noProof/>
          <w:sz w:val="24"/>
          <w:szCs w:val="24"/>
        </w:rPr>
        <w:t>, 241–248 (2009).</w:t>
      </w:r>
    </w:p>
    <w:p w14:paraId="0E06A747"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108.</w:t>
      </w:r>
      <w:r w:rsidRPr="002A697C">
        <w:rPr>
          <w:rFonts w:ascii="Times New Roman" w:hAnsi="Times New Roman" w:cs="Times New Roman"/>
          <w:noProof/>
          <w:sz w:val="24"/>
          <w:szCs w:val="24"/>
        </w:rPr>
        <w:tab/>
        <w:t xml:space="preserve">Gold, B.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Novel Cephalosporins Selectively Active on Nonreplicating Mycobacterium tuberculosis. </w:t>
      </w:r>
      <w:r w:rsidRPr="002A697C">
        <w:rPr>
          <w:rFonts w:ascii="Times New Roman" w:hAnsi="Times New Roman" w:cs="Times New Roman"/>
          <w:i/>
          <w:iCs/>
          <w:noProof/>
          <w:sz w:val="24"/>
          <w:szCs w:val="24"/>
        </w:rPr>
        <w:t>J. Med. Chem.</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59</w:t>
      </w:r>
      <w:r w:rsidRPr="002A697C">
        <w:rPr>
          <w:rFonts w:ascii="Times New Roman" w:hAnsi="Times New Roman" w:cs="Times New Roman"/>
          <w:noProof/>
          <w:sz w:val="24"/>
          <w:szCs w:val="24"/>
        </w:rPr>
        <w:t>, 6027–6044 (2016).</w:t>
      </w:r>
    </w:p>
    <w:p w14:paraId="304C0D5C"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lastRenderedPageBreak/>
        <w:t>109.</w:t>
      </w:r>
      <w:r w:rsidRPr="002A697C">
        <w:rPr>
          <w:rFonts w:ascii="Times New Roman" w:hAnsi="Times New Roman" w:cs="Times New Roman"/>
          <w:noProof/>
          <w:sz w:val="24"/>
          <w:szCs w:val="24"/>
        </w:rPr>
        <w:tab/>
        <w:t xml:space="preserve">Chambers, H. F.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Can penicillins and other beta-lactam antibiotics be used to treat tuberculosis?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39</w:t>
      </w:r>
      <w:r w:rsidRPr="002A697C">
        <w:rPr>
          <w:rFonts w:ascii="Times New Roman" w:hAnsi="Times New Roman" w:cs="Times New Roman"/>
          <w:noProof/>
          <w:sz w:val="24"/>
          <w:szCs w:val="24"/>
        </w:rPr>
        <w:t>, 2620–2624 (1995).</w:t>
      </w:r>
    </w:p>
    <w:p w14:paraId="70A94F98"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110.</w:t>
      </w:r>
      <w:r w:rsidRPr="002A697C">
        <w:rPr>
          <w:rFonts w:ascii="Times New Roman" w:hAnsi="Times New Roman" w:cs="Times New Roman"/>
          <w:noProof/>
          <w:sz w:val="24"/>
          <w:szCs w:val="24"/>
        </w:rPr>
        <w:tab/>
        <w:t xml:space="preserve">Istvan, E. S. </w:t>
      </w:r>
      <w:r w:rsidRPr="002A697C">
        <w:rPr>
          <w:rFonts w:ascii="Times New Roman" w:hAnsi="Times New Roman" w:cs="Times New Roman"/>
          <w:i/>
          <w:iCs/>
          <w:noProof/>
          <w:sz w:val="24"/>
          <w:szCs w:val="24"/>
        </w:rPr>
        <w:t>et al.</w:t>
      </w:r>
      <w:r w:rsidRPr="002A697C">
        <w:rPr>
          <w:rFonts w:ascii="Times New Roman" w:hAnsi="Times New Roman" w:cs="Times New Roman"/>
          <w:noProof/>
          <w:sz w:val="24"/>
          <w:szCs w:val="24"/>
        </w:rPr>
        <w:t xml:space="preserve"> Validation of isoleucine utilization targets in Plasmodium falciparum. </w:t>
      </w:r>
      <w:r w:rsidRPr="002A697C">
        <w:rPr>
          <w:rFonts w:ascii="Times New Roman" w:hAnsi="Times New Roman" w:cs="Times New Roman"/>
          <w:i/>
          <w:iCs/>
          <w:noProof/>
          <w:sz w:val="24"/>
          <w:szCs w:val="24"/>
        </w:rPr>
        <w:t>Proc. Natl. Acad. Sci. U. S. A.</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108</w:t>
      </w:r>
      <w:r w:rsidRPr="002A697C">
        <w:rPr>
          <w:rFonts w:ascii="Times New Roman" w:hAnsi="Times New Roman" w:cs="Times New Roman"/>
          <w:noProof/>
          <w:sz w:val="24"/>
          <w:szCs w:val="24"/>
        </w:rPr>
        <w:t>, 1627–1632 (2011).</w:t>
      </w:r>
    </w:p>
    <w:p w14:paraId="2A5F7DDF"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111.</w:t>
      </w:r>
      <w:r w:rsidRPr="002A697C">
        <w:rPr>
          <w:rFonts w:ascii="Times New Roman" w:hAnsi="Times New Roman" w:cs="Times New Roman"/>
          <w:noProof/>
          <w:sz w:val="24"/>
          <w:szCs w:val="24"/>
        </w:rPr>
        <w:tab/>
        <w:t xml:space="preserve">Surolia, N. &amp; Surolia, A. Triclosan offers protection against blood stages of malaria by inhibiting enoyl-ACP reductase of Plasmodium falciparum. </w:t>
      </w:r>
      <w:r w:rsidRPr="002A697C">
        <w:rPr>
          <w:rFonts w:ascii="Times New Roman" w:hAnsi="Times New Roman" w:cs="Times New Roman"/>
          <w:i/>
          <w:iCs/>
          <w:noProof/>
          <w:sz w:val="24"/>
          <w:szCs w:val="24"/>
        </w:rPr>
        <w:t>Nat. Med.</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7</w:t>
      </w:r>
      <w:r w:rsidRPr="002A697C">
        <w:rPr>
          <w:rFonts w:ascii="Times New Roman" w:hAnsi="Times New Roman" w:cs="Times New Roman"/>
          <w:noProof/>
          <w:sz w:val="24"/>
          <w:szCs w:val="24"/>
        </w:rPr>
        <w:t>, 167–173 (2001).</w:t>
      </w:r>
    </w:p>
    <w:p w14:paraId="2C6C8D09"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112.</w:t>
      </w:r>
      <w:r w:rsidRPr="002A697C">
        <w:rPr>
          <w:rFonts w:ascii="Times New Roman" w:hAnsi="Times New Roman" w:cs="Times New Roman"/>
          <w:noProof/>
          <w:sz w:val="24"/>
          <w:szCs w:val="24"/>
        </w:rPr>
        <w:tab/>
        <w:t xml:space="preserve">Zhang, Y. &amp; Meshnick, S. R. Inhibition of Plasmodium falciparum dihydropteroate synthetase and growth in vitro  by sulfa drugs. </w:t>
      </w:r>
      <w:r w:rsidRPr="002A697C">
        <w:rPr>
          <w:rFonts w:ascii="Times New Roman" w:hAnsi="Times New Roman" w:cs="Times New Roman"/>
          <w:i/>
          <w:iCs/>
          <w:noProof/>
          <w:sz w:val="24"/>
          <w:szCs w:val="24"/>
        </w:rPr>
        <w:t>Antimicrob. Agents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35</w:t>
      </w:r>
      <w:r w:rsidRPr="002A697C">
        <w:rPr>
          <w:rFonts w:ascii="Times New Roman" w:hAnsi="Times New Roman" w:cs="Times New Roman"/>
          <w:noProof/>
          <w:sz w:val="24"/>
          <w:szCs w:val="24"/>
        </w:rPr>
        <w:t>, 267–271 (1991).</w:t>
      </w:r>
    </w:p>
    <w:p w14:paraId="5B6B4E83"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szCs w:val="24"/>
        </w:rPr>
      </w:pPr>
      <w:r w:rsidRPr="002A697C">
        <w:rPr>
          <w:rFonts w:ascii="Times New Roman" w:hAnsi="Times New Roman" w:cs="Times New Roman"/>
          <w:noProof/>
          <w:sz w:val="24"/>
          <w:szCs w:val="24"/>
        </w:rPr>
        <w:t>113.</w:t>
      </w:r>
      <w:r w:rsidRPr="002A697C">
        <w:rPr>
          <w:rFonts w:ascii="Times New Roman" w:hAnsi="Times New Roman" w:cs="Times New Roman"/>
          <w:noProof/>
          <w:sz w:val="24"/>
          <w:szCs w:val="24"/>
        </w:rPr>
        <w:tab/>
        <w:t xml:space="preserve">Nicholas, R. O., Berry, V., Hunter, P. A. &amp; Kelly, J. A. The antifungal activity of mupirocin. </w:t>
      </w:r>
      <w:r w:rsidRPr="002A697C">
        <w:rPr>
          <w:rFonts w:ascii="Times New Roman" w:hAnsi="Times New Roman" w:cs="Times New Roman"/>
          <w:i/>
          <w:iCs/>
          <w:noProof/>
          <w:sz w:val="24"/>
          <w:szCs w:val="24"/>
        </w:rPr>
        <w:t>J. Antimicrob. Chemother.</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43</w:t>
      </w:r>
      <w:r w:rsidRPr="002A697C">
        <w:rPr>
          <w:rFonts w:ascii="Times New Roman" w:hAnsi="Times New Roman" w:cs="Times New Roman"/>
          <w:noProof/>
          <w:sz w:val="24"/>
          <w:szCs w:val="24"/>
        </w:rPr>
        <w:t>, 579–582 (1999).</w:t>
      </w:r>
    </w:p>
    <w:p w14:paraId="3EAFD2EE" w14:textId="77777777" w:rsidR="002A697C" w:rsidRPr="002A697C" w:rsidRDefault="002A697C" w:rsidP="002A697C">
      <w:pPr>
        <w:widowControl w:val="0"/>
        <w:autoSpaceDE w:val="0"/>
        <w:autoSpaceDN w:val="0"/>
        <w:adjustRightInd w:val="0"/>
        <w:spacing w:line="480" w:lineRule="auto"/>
        <w:ind w:left="640" w:hanging="640"/>
        <w:rPr>
          <w:rFonts w:ascii="Times New Roman" w:hAnsi="Times New Roman" w:cs="Times New Roman"/>
          <w:noProof/>
          <w:sz w:val="24"/>
        </w:rPr>
      </w:pPr>
      <w:r w:rsidRPr="002A697C">
        <w:rPr>
          <w:rFonts w:ascii="Times New Roman" w:hAnsi="Times New Roman" w:cs="Times New Roman"/>
          <w:noProof/>
          <w:sz w:val="24"/>
          <w:szCs w:val="24"/>
        </w:rPr>
        <w:t>114.</w:t>
      </w:r>
      <w:r w:rsidRPr="002A697C">
        <w:rPr>
          <w:rFonts w:ascii="Times New Roman" w:hAnsi="Times New Roman" w:cs="Times New Roman"/>
          <w:noProof/>
          <w:sz w:val="24"/>
          <w:szCs w:val="24"/>
        </w:rPr>
        <w:tab/>
        <w:t xml:space="preserve">Smith, T. F. &amp; Waterman, M. S. Identification of common molecular subsequences. </w:t>
      </w:r>
      <w:r w:rsidRPr="002A697C">
        <w:rPr>
          <w:rFonts w:ascii="Times New Roman" w:hAnsi="Times New Roman" w:cs="Times New Roman"/>
          <w:i/>
          <w:iCs/>
          <w:noProof/>
          <w:sz w:val="24"/>
          <w:szCs w:val="24"/>
        </w:rPr>
        <w:t>J. Mol. Biol.</w:t>
      </w:r>
      <w:r w:rsidRPr="002A697C">
        <w:rPr>
          <w:rFonts w:ascii="Times New Roman" w:hAnsi="Times New Roman" w:cs="Times New Roman"/>
          <w:noProof/>
          <w:sz w:val="24"/>
          <w:szCs w:val="24"/>
        </w:rPr>
        <w:t xml:space="preserve"> </w:t>
      </w:r>
      <w:r w:rsidRPr="002A697C">
        <w:rPr>
          <w:rFonts w:ascii="Times New Roman" w:hAnsi="Times New Roman" w:cs="Times New Roman"/>
          <w:b/>
          <w:bCs/>
          <w:noProof/>
          <w:sz w:val="24"/>
          <w:szCs w:val="24"/>
        </w:rPr>
        <w:t>147</w:t>
      </w:r>
      <w:r w:rsidRPr="002A697C">
        <w:rPr>
          <w:rFonts w:ascii="Times New Roman" w:hAnsi="Times New Roman" w:cs="Times New Roman"/>
          <w:noProof/>
          <w:sz w:val="24"/>
          <w:szCs w:val="24"/>
        </w:rPr>
        <w:t>, 195–197 (1981).</w:t>
      </w:r>
    </w:p>
    <w:p w14:paraId="3B351785" w14:textId="7F206010" w:rsidR="007036CD" w:rsidRPr="00FB75F5" w:rsidRDefault="00F05CE6" w:rsidP="00292553">
      <w:pPr>
        <w:spacing w:line="480" w:lineRule="auto"/>
        <w:jc w:val="both"/>
        <w:rPr>
          <w:rFonts w:ascii="Times New Roman" w:hAnsi="Times New Roman" w:cs="Times New Roman"/>
          <w:sz w:val="24"/>
          <w:szCs w:val="24"/>
        </w:rPr>
      </w:pPr>
      <w:r w:rsidRPr="008F5D10">
        <w:rPr>
          <w:rFonts w:ascii="Times New Roman" w:hAnsi="Times New Roman" w:cs="Times New Roman"/>
          <w:sz w:val="24"/>
          <w:szCs w:val="24"/>
        </w:rPr>
        <w:fldChar w:fldCharType="end"/>
      </w:r>
    </w:p>
    <w:sectPr w:rsidR="007036CD" w:rsidRPr="00FB75F5" w:rsidSect="00292553">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0640" w14:textId="77777777" w:rsidR="00DF35E3" w:rsidRDefault="00DF35E3" w:rsidP="00447F02">
      <w:pPr>
        <w:spacing w:after="0" w:line="240" w:lineRule="auto"/>
      </w:pPr>
      <w:r>
        <w:separator/>
      </w:r>
    </w:p>
  </w:endnote>
  <w:endnote w:type="continuationSeparator" w:id="0">
    <w:p w14:paraId="2F7D7E11" w14:textId="77777777" w:rsidR="00DF35E3" w:rsidRDefault="00DF35E3" w:rsidP="004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77204"/>
      <w:docPartObj>
        <w:docPartGallery w:val="Page Numbers (Bottom of Page)"/>
        <w:docPartUnique/>
      </w:docPartObj>
    </w:sdtPr>
    <w:sdtEndPr/>
    <w:sdtContent>
      <w:sdt>
        <w:sdtPr>
          <w:id w:val="1728636285"/>
          <w:docPartObj>
            <w:docPartGallery w:val="Page Numbers (Top of Page)"/>
            <w:docPartUnique/>
          </w:docPartObj>
        </w:sdtPr>
        <w:sdtEndPr/>
        <w:sdtContent>
          <w:p w14:paraId="08625587" w14:textId="74AE4F78" w:rsidR="00C94E09" w:rsidRDefault="00C94E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4E0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E04">
              <w:rPr>
                <w:b/>
                <w:bCs/>
                <w:noProof/>
              </w:rPr>
              <w:t>19</w:t>
            </w:r>
            <w:r>
              <w:rPr>
                <w:b/>
                <w:bCs/>
                <w:sz w:val="24"/>
                <w:szCs w:val="24"/>
              </w:rPr>
              <w:fldChar w:fldCharType="end"/>
            </w:r>
          </w:p>
        </w:sdtContent>
      </w:sdt>
    </w:sdtContent>
  </w:sdt>
  <w:p w14:paraId="03CFE9CA" w14:textId="77777777" w:rsidR="002A697C" w:rsidRDefault="002A6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53D6" w14:textId="77777777" w:rsidR="00DF35E3" w:rsidRDefault="00DF35E3" w:rsidP="00447F02">
      <w:pPr>
        <w:spacing w:after="0" w:line="240" w:lineRule="auto"/>
      </w:pPr>
      <w:r>
        <w:separator/>
      </w:r>
    </w:p>
  </w:footnote>
  <w:footnote w:type="continuationSeparator" w:id="0">
    <w:p w14:paraId="7148BF43" w14:textId="77777777" w:rsidR="00DF35E3" w:rsidRDefault="00DF35E3" w:rsidP="00447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7FA"/>
    <w:multiLevelType w:val="hybridMultilevel"/>
    <w:tmpl w:val="D97876B8"/>
    <w:lvl w:ilvl="0" w:tplc="D3564238">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CB6E8E"/>
    <w:multiLevelType w:val="hybridMultilevel"/>
    <w:tmpl w:val="B75237B2"/>
    <w:lvl w:ilvl="0" w:tplc="221A9E20">
      <w:start w:val="1"/>
      <w:numFmt w:val="lowerLetter"/>
      <w:lvlText w:val="(%1)"/>
      <w:lvlJc w:val="left"/>
      <w:pPr>
        <w:ind w:left="1440" w:hanging="360"/>
      </w:pPr>
      <w:rPr>
        <w:rFonts w:hint="default"/>
        <w:b/>
        <w:bCs/>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2AB6DE8"/>
    <w:multiLevelType w:val="hybridMultilevel"/>
    <w:tmpl w:val="D25E0DD4"/>
    <w:lvl w:ilvl="0" w:tplc="E1CC151E">
      <w:start w:val="1"/>
      <w:numFmt w:val="lowerLetter"/>
      <w:lvlText w:val="(%1)"/>
      <w:lvlJc w:val="left"/>
      <w:pPr>
        <w:ind w:left="1440" w:hanging="360"/>
      </w:pPr>
      <w:rPr>
        <w:rFonts w:hint="default"/>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A403414"/>
    <w:multiLevelType w:val="hybridMultilevel"/>
    <w:tmpl w:val="7FC29E76"/>
    <w:lvl w:ilvl="0" w:tplc="BDFAA21C">
      <w:start w:val="1"/>
      <w:numFmt w:val="lowerLetter"/>
      <w:lvlText w:val="(%1)"/>
      <w:lvlJc w:val="left"/>
      <w:pPr>
        <w:ind w:left="1440" w:hanging="360"/>
      </w:pPr>
      <w:rPr>
        <w:rFonts w:hint="default"/>
        <w:b/>
        <w:bCs/>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0417C7E"/>
    <w:multiLevelType w:val="hybridMultilevel"/>
    <w:tmpl w:val="6130000A"/>
    <w:lvl w:ilvl="0" w:tplc="0409001B">
      <w:start w:val="1"/>
      <w:numFmt w:val="lowerRoman"/>
      <w:lvlText w:val="%1."/>
      <w:lvlJc w:val="right"/>
      <w:pPr>
        <w:ind w:left="180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261458"/>
    <w:multiLevelType w:val="multilevel"/>
    <w:tmpl w:val="2C3EA35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39CA3DA1"/>
    <w:multiLevelType w:val="multilevel"/>
    <w:tmpl w:val="2D428F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AC97976"/>
    <w:multiLevelType w:val="multilevel"/>
    <w:tmpl w:val="0C847D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19734E"/>
    <w:multiLevelType w:val="multilevel"/>
    <w:tmpl w:val="33FA728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C6A42DE"/>
    <w:multiLevelType w:val="hybridMultilevel"/>
    <w:tmpl w:val="71BE1ACA"/>
    <w:lvl w:ilvl="0" w:tplc="27F4051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E0C489C"/>
    <w:multiLevelType w:val="hybridMultilevel"/>
    <w:tmpl w:val="09D21E86"/>
    <w:lvl w:ilvl="0" w:tplc="EEB64636">
      <w:start w:val="1"/>
      <w:numFmt w:val="decimal"/>
      <w:lvlText w:val="%1."/>
      <w:lvlJc w:val="left"/>
      <w:pPr>
        <w:ind w:left="360" w:hanging="360"/>
      </w:pPr>
      <w:rPr>
        <w:rFonts w:hint="default"/>
        <w:b/>
        <w:bCs/>
      </w:rPr>
    </w:lvl>
    <w:lvl w:ilvl="1" w:tplc="4009001B">
      <w:start w:val="1"/>
      <w:numFmt w:val="lowerRoman"/>
      <w:lvlText w:val="%2."/>
      <w:lvlJc w:val="right"/>
      <w:pPr>
        <w:ind w:left="1080" w:hanging="360"/>
      </w:pPr>
    </w:lvl>
    <w:lvl w:ilvl="2" w:tplc="0409001B">
      <w:start w:val="1"/>
      <w:numFmt w:val="lowerRoman"/>
      <w:lvlText w:val="%3."/>
      <w:lvlJc w:val="right"/>
      <w:pPr>
        <w:ind w:left="1800" w:hanging="180"/>
      </w:pPr>
    </w:lvl>
    <w:lvl w:ilvl="3" w:tplc="40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DC1A3A"/>
    <w:multiLevelType w:val="hybridMultilevel"/>
    <w:tmpl w:val="2BCEF7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2C0168"/>
    <w:multiLevelType w:val="multilevel"/>
    <w:tmpl w:val="62E0B75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2"/>
  </w:num>
  <w:num w:numId="3">
    <w:abstractNumId w:val="0"/>
  </w:num>
  <w:num w:numId="4">
    <w:abstractNumId w:val="3"/>
  </w:num>
  <w:num w:numId="5">
    <w:abstractNumId w:val="11"/>
  </w:num>
  <w:num w:numId="6">
    <w:abstractNumId w:val="6"/>
  </w:num>
  <w:num w:numId="7">
    <w:abstractNumId w:val="10"/>
  </w:num>
  <w:num w:numId="8">
    <w:abstractNumId w:val="1"/>
  </w:num>
  <w:num w:numId="9">
    <w:abstractNumId w:val="4"/>
  </w:num>
  <w:num w:numId="10">
    <w:abstractNumId w:val="12"/>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UyMjU3MjOysDBQ0lEKTi0uzszPAykwtKgFAJphBN4tAAAA"/>
  </w:docVars>
  <w:rsids>
    <w:rsidRoot w:val="002F3002"/>
    <w:rsid w:val="000009E5"/>
    <w:rsid w:val="0001521B"/>
    <w:rsid w:val="00021B4F"/>
    <w:rsid w:val="00031F17"/>
    <w:rsid w:val="000379C7"/>
    <w:rsid w:val="0004409A"/>
    <w:rsid w:val="00097427"/>
    <w:rsid w:val="000B4B32"/>
    <w:rsid w:val="000B701B"/>
    <w:rsid w:val="000C629B"/>
    <w:rsid w:val="000C7CE5"/>
    <w:rsid w:val="000E064F"/>
    <w:rsid w:val="000E45C0"/>
    <w:rsid w:val="000F44BC"/>
    <w:rsid w:val="0010511A"/>
    <w:rsid w:val="00113EDC"/>
    <w:rsid w:val="001241EF"/>
    <w:rsid w:val="001346A9"/>
    <w:rsid w:val="00141897"/>
    <w:rsid w:val="001561EB"/>
    <w:rsid w:val="00157AF9"/>
    <w:rsid w:val="00186F56"/>
    <w:rsid w:val="001D0F8A"/>
    <w:rsid w:val="001D4878"/>
    <w:rsid w:val="001D5D0E"/>
    <w:rsid w:val="001F1652"/>
    <w:rsid w:val="001F5A76"/>
    <w:rsid w:val="002024C0"/>
    <w:rsid w:val="002034BC"/>
    <w:rsid w:val="00221793"/>
    <w:rsid w:val="00241A5B"/>
    <w:rsid w:val="00244A5B"/>
    <w:rsid w:val="0025177D"/>
    <w:rsid w:val="00255A7A"/>
    <w:rsid w:val="00266ECD"/>
    <w:rsid w:val="00267BF5"/>
    <w:rsid w:val="00267CF1"/>
    <w:rsid w:val="00275B03"/>
    <w:rsid w:val="00286DC9"/>
    <w:rsid w:val="00287308"/>
    <w:rsid w:val="00292553"/>
    <w:rsid w:val="002A4E5B"/>
    <w:rsid w:val="002A697C"/>
    <w:rsid w:val="002C0437"/>
    <w:rsid w:val="002F3002"/>
    <w:rsid w:val="00307CA4"/>
    <w:rsid w:val="003127A8"/>
    <w:rsid w:val="003178F9"/>
    <w:rsid w:val="00317B5F"/>
    <w:rsid w:val="003407F5"/>
    <w:rsid w:val="00345A0E"/>
    <w:rsid w:val="003536EF"/>
    <w:rsid w:val="00364C20"/>
    <w:rsid w:val="00382C07"/>
    <w:rsid w:val="00383FAB"/>
    <w:rsid w:val="003A38AD"/>
    <w:rsid w:val="003A7EAB"/>
    <w:rsid w:val="003C2A98"/>
    <w:rsid w:val="00447F02"/>
    <w:rsid w:val="00456D05"/>
    <w:rsid w:val="00466986"/>
    <w:rsid w:val="0047283E"/>
    <w:rsid w:val="004A4826"/>
    <w:rsid w:val="00507572"/>
    <w:rsid w:val="0051008A"/>
    <w:rsid w:val="00523049"/>
    <w:rsid w:val="00543367"/>
    <w:rsid w:val="00547780"/>
    <w:rsid w:val="00584EC0"/>
    <w:rsid w:val="005A18BF"/>
    <w:rsid w:val="005A7C5C"/>
    <w:rsid w:val="005B2C44"/>
    <w:rsid w:val="005E146F"/>
    <w:rsid w:val="005E75BC"/>
    <w:rsid w:val="005F0D49"/>
    <w:rsid w:val="005F0DB4"/>
    <w:rsid w:val="00604EBF"/>
    <w:rsid w:val="00656E76"/>
    <w:rsid w:val="0067013D"/>
    <w:rsid w:val="006814D7"/>
    <w:rsid w:val="006A20DE"/>
    <w:rsid w:val="006A4492"/>
    <w:rsid w:val="006C02B3"/>
    <w:rsid w:val="006C41BC"/>
    <w:rsid w:val="006C4BDC"/>
    <w:rsid w:val="006D0556"/>
    <w:rsid w:val="006D0A48"/>
    <w:rsid w:val="006D7508"/>
    <w:rsid w:val="006E506F"/>
    <w:rsid w:val="006F05B0"/>
    <w:rsid w:val="007036CD"/>
    <w:rsid w:val="007149B0"/>
    <w:rsid w:val="007301A8"/>
    <w:rsid w:val="00736291"/>
    <w:rsid w:val="007816AD"/>
    <w:rsid w:val="00783910"/>
    <w:rsid w:val="00793CA4"/>
    <w:rsid w:val="007A4659"/>
    <w:rsid w:val="007B2943"/>
    <w:rsid w:val="007E6325"/>
    <w:rsid w:val="008137B2"/>
    <w:rsid w:val="008608FB"/>
    <w:rsid w:val="008666DC"/>
    <w:rsid w:val="00873274"/>
    <w:rsid w:val="0087681C"/>
    <w:rsid w:val="00883046"/>
    <w:rsid w:val="00886457"/>
    <w:rsid w:val="008B266E"/>
    <w:rsid w:val="008C0FBA"/>
    <w:rsid w:val="008E00E0"/>
    <w:rsid w:val="008E1692"/>
    <w:rsid w:val="008F5D10"/>
    <w:rsid w:val="009076EF"/>
    <w:rsid w:val="009557CF"/>
    <w:rsid w:val="00964B7A"/>
    <w:rsid w:val="00972D7C"/>
    <w:rsid w:val="0097682B"/>
    <w:rsid w:val="009A6C12"/>
    <w:rsid w:val="009B1DDB"/>
    <w:rsid w:val="009B620A"/>
    <w:rsid w:val="009D0115"/>
    <w:rsid w:val="009F3B8F"/>
    <w:rsid w:val="009F3CE1"/>
    <w:rsid w:val="00A04548"/>
    <w:rsid w:val="00A253C2"/>
    <w:rsid w:val="00A3251A"/>
    <w:rsid w:val="00A35E3B"/>
    <w:rsid w:val="00A40DE9"/>
    <w:rsid w:val="00A4250B"/>
    <w:rsid w:val="00A478F6"/>
    <w:rsid w:val="00A60287"/>
    <w:rsid w:val="00A6042C"/>
    <w:rsid w:val="00A77B18"/>
    <w:rsid w:val="00AD048E"/>
    <w:rsid w:val="00AD4E82"/>
    <w:rsid w:val="00AE0BD3"/>
    <w:rsid w:val="00AE5C67"/>
    <w:rsid w:val="00AF2387"/>
    <w:rsid w:val="00B013E1"/>
    <w:rsid w:val="00B10B5A"/>
    <w:rsid w:val="00B21A6F"/>
    <w:rsid w:val="00B55CB2"/>
    <w:rsid w:val="00B67E80"/>
    <w:rsid w:val="00B7456C"/>
    <w:rsid w:val="00BB35C4"/>
    <w:rsid w:val="00BE51A3"/>
    <w:rsid w:val="00BF7EEB"/>
    <w:rsid w:val="00C118AA"/>
    <w:rsid w:val="00C16BD6"/>
    <w:rsid w:val="00C5281D"/>
    <w:rsid w:val="00C56C15"/>
    <w:rsid w:val="00C66493"/>
    <w:rsid w:val="00C72EEF"/>
    <w:rsid w:val="00C80C3B"/>
    <w:rsid w:val="00C94E09"/>
    <w:rsid w:val="00CA7892"/>
    <w:rsid w:val="00CB76E5"/>
    <w:rsid w:val="00CC0942"/>
    <w:rsid w:val="00CE0CD3"/>
    <w:rsid w:val="00CE6856"/>
    <w:rsid w:val="00CF3414"/>
    <w:rsid w:val="00D16F65"/>
    <w:rsid w:val="00D24A79"/>
    <w:rsid w:val="00D30C29"/>
    <w:rsid w:val="00D32131"/>
    <w:rsid w:val="00D46CD2"/>
    <w:rsid w:val="00D50FB3"/>
    <w:rsid w:val="00D70412"/>
    <w:rsid w:val="00D741BE"/>
    <w:rsid w:val="00D945AC"/>
    <w:rsid w:val="00DE02F5"/>
    <w:rsid w:val="00DE27F2"/>
    <w:rsid w:val="00DE5CDD"/>
    <w:rsid w:val="00DF35E3"/>
    <w:rsid w:val="00E0672E"/>
    <w:rsid w:val="00E06BDA"/>
    <w:rsid w:val="00E21DF8"/>
    <w:rsid w:val="00E22137"/>
    <w:rsid w:val="00E34058"/>
    <w:rsid w:val="00E4168E"/>
    <w:rsid w:val="00E44A2B"/>
    <w:rsid w:val="00E44ED4"/>
    <w:rsid w:val="00E53540"/>
    <w:rsid w:val="00E55D2B"/>
    <w:rsid w:val="00E74C4A"/>
    <w:rsid w:val="00E83467"/>
    <w:rsid w:val="00EA0306"/>
    <w:rsid w:val="00EA4782"/>
    <w:rsid w:val="00EC2877"/>
    <w:rsid w:val="00ED2D47"/>
    <w:rsid w:val="00ED35EF"/>
    <w:rsid w:val="00ED3AB9"/>
    <w:rsid w:val="00ED496F"/>
    <w:rsid w:val="00ED5CE5"/>
    <w:rsid w:val="00EE4623"/>
    <w:rsid w:val="00EF7E90"/>
    <w:rsid w:val="00F05CE6"/>
    <w:rsid w:val="00F14085"/>
    <w:rsid w:val="00F32784"/>
    <w:rsid w:val="00F34E04"/>
    <w:rsid w:val="00F54752"/>
    <w:rsid w:val="00F95182"/>
    <w:rsid w:val="00FA6498"/>
    <w:rsid w:val="00FB75F5"/>
    <w:rsid w:val="00FC161A"/>
    <w:rsid w:val="00FC5B3E"/>
    <w:rsid w:val="00FE3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3E480"/>
  <w15:chartTrackingRefBased/>
  <w15:docId w15:val="{67517AD3-0913-4C23-A581-91DCA51C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02"/>
  </w:style>
  <w:style w:type="paragraph" w:styleId="Heading1">
    <w:name w:val="heading 1"/>
    <w:basedOn w:val="Normal"/>
    <w:link w:val="Heading1Char"/>
    <w:uiPriority w:val="9"/>
    <w:qFormat/>
    <w:rsid w:val="00B0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87"/>
    <w:rPr>
      <w:rFonts w:ascii="Segoe UI" w:hAnsi="Segoe UI" w:cs="Segoe UI"/>
      <w:sz w:val="18"/>
      <w:szCs w:val="18"/>
    </w:rPr>
  </w:style>
  <w:style w:type="table" w:styleId="TableGrid">
    <w:name w:val="Table Grid"/>
    <w:basedOn w:val="TableNormal"/>
    <w:uiPriority w:val="39"/>
    <w:rsid w:val="0035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06"/>
    <w:pPr>
      <w:ind w:left="720"/>
      <w:contextualSpacing/>
    </w:pPr>
  </w:style>
  <w:style w:type="paragraph" w:styleId="Footer">
    <w:name w:val="footer"/>
    <w:basedOn w:val="Normal"/>
    <w:link w:val="FooterChar"/>
    <w:uiPriority w:val="99"/>
    <w:unhideWhenUsed/>
    <w:rsid w:val="00F32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84"/>
  </w:style>
  <w:style w:type="character" w:styleId="LineNumber">
    <w:name w:val="line number"/>
    <w:basedOn w:val="DefaultParagraphFont"/>
    <w:uiPriority w:val="99"/>
    <w:semiHidden/>
    <w:unhideWhenUsed/>
    <w:rsid w:val="00F32784"/>
  </w:style>
  <w:style w:type="paragraph" w:styleId="Header">
    <w:name w:val="header"/>
    <w:basedOn w:val="Normal"/>
    <w:link w:val="HeaderChar"/>
    <w:uiPriority w:val="99"/>
    <w:unhideWhenUsed/>
    <w:rsid w:val="0044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02"/>
  </w:style>
  <w:style w:type="character" w:styleId="CommentReference">
    <w:name w:val="annotation reference"/>
    <w:basedOn w:val="DefaultParagraphFont"/>
    <w:uiPriority w:val="99"/>
    <w:semiHidden/>
    <w:unhideWhenUsed/>
    <w:rsid w:val="00F05CE6"/>
    <w:rPr>
      <w:sz w:val="16"/>
      <w:szCs w:val="16"/>
    </w:rPr>
  </w:style>
  <w:style w:type="paragraph" w:styleId="Caption">
    <w:name w:val="caption"/>
    <w:basedOn w:val="Normal"/>
    <w:next w:val="Normal"/>
    <w:uiPriority w:val="35"/>
    <w:unhideWhenUsed/>
    <w:qFormat/>
    <w:rsid w:val="00287308"/>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2034BC"/>
    <w:pPr>
      <w:spacing w:line="240" w:lineRule="auto"/>
    </w:pPr>
    <w:rPr>
      <w:sz w:val="20"/>
      <w:szCs w:val="20"/>
    </w:rPr>
  </w:style>
  <w:style w:type="character" w:customStyle="1" w:styleId="CommentTextChar">
    <w:name w:val="Comment Text Char"/>
    <w:basedOn w:val="DefaultParagraphFont"/>
    <w:link w:val="CommentText"/>
    <w:uiPriority w:val="99"/>
    <w:rsid w:val="002034BC"/>
    <w:rPr>
      <w:sz w:val="20"/>
      <w:szCs w:val="20"/>
    </w:rPr>
  </w:style>
  <w:style w:type="paragraph" w:styleId="CommentSubject">
    <w:name w:val="annotation subject"/>
    <w:basedOn w:val="CommentText"/>
    <w:next w:val="CommentText"/>
    <w:link w:val="CommentSubjectChar"/>
    <w:uiPriority w:val="99"/>
    <w:semiHidden/>
    <w:unhideWhenUsed/>
    <w:rsid w:val="002034BC"/>
    <w:rPr>
      <w:b/>
      <w:bCs/>
    </w:rPr>
  </w:style>
  <w:style w:type="character" w:customStyle="1" w:styleId="CommentSubjectChar">
    <w:name w:val="Comment Subject Char"/>
    <w:basedOn w:val="CommentTextChar"/>
    <w:link w:val="CommentSubject"/>
    <w:uiPriority w:val="99"/>
    <w:semiHidden/>
    <w:rsid w:val="002034BC"/>
    <w:rPr>
      <w:b/>
      <w:bCs/>
      <w:sz w:val="20"/>
      <w:szCs w:val="20"/>
    </w:rPr>
  </w:style>
  <w:style w:type="character" w:styleId="Hyperlink">
    <w:name w:val="Hyperlink"/>
    <w:basedOn w:val="DefaultParagraphFont"/>
    <w:uiPriority w:val="99"/>
    <w:unhideWhenUsed/>
    <w:rsid w:val="00DE02F5"/>
    <w:rPr>
      <w:color w:val="0563C1" w:themeColor="hyperlink"/>
      <w:u w:val="single"/>
    </w:rPr>
  </w:style>
  <w:style w:type="character" w:customStyle="1" w:styleId="UnresolvedMention">
    <w:name w:val="Unresolved Mention"/>
    <w:basedOn w:val="DefaultParagraphFont"/>
    <w:uiPriority w:val="99"/>
    <w:semiHidden/>
    <w:unhideWhenUsed/>
    <w:rsid w:val="00DE02F5"/>
    <w:rPr>
      <w:color w:val="605E5C"/>
      <w:shd w:val="clear" w:color="auto" w:fill="E1DFDD"/>
    </w:rPr>
  </w:style>
  <w:style w:type="paragraph" w:styleId="NormalWeb">
    <w:name w:val="Normal (Web)"/>
    <w:basedOn w:val="Normal"/>
    <w:uiPriority w:val="99"/>
    <w:semiHidden/>
    <w:unhideWhenUsed/>
    <w:rsid w:val="00DE02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E02F5"/>
    <w:rPr>
      <w:b/>
      <w:bCs/>
    </w:rPr>
  </w:style>
  <w:style w:type="character" w:customStyle="1" w:styleId="Heading1Char">
    <w:name w:val="Heading 1 Char"/>
    <w:basedOn w:val="DefaultParagraphFont"/>
    <w:link w:val="Heading1"/>
    <w:uiPriority w:val="9"/>
    <w:rsid w:val="00B013E1"/>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4887">
      <w:bodyDiv w:val="1"/>
      <w:marLeft w:val="0"/>
      <w:marRight w:val="0"/>
      <w:marTop w:val="0"/>
      <w:marBottom w:val="0"/>
      <w:divBdr>
        <w:top w:val="none" w:sz="0" w:space="0" w:color="auto"/>
        <w:left w:val="none" w:sz="0" w:space="0" w:color="auto"/>
        <w:bottom w:val="none" w:sz="0" w:space="0" w:color="auto"/>
        <w:right w:val="none" w:sz="0" w:space="0" w:color="auto"/>
      </w:divBdr>
      <w:divsChild>
        <w:div w:id="320503494">
          <w:marLeft w:val="60"/>
          <w:marRight w:val="0"/>
          <w:marTop w:val="0"/>
          <w:marBottom w:val="0"/>
          <w:divBdr>
            <w:top w:val="none" w:sz="0" w:space="0" w:color="auto"/>
            <w:left w:val="single" w:sz="24" w:space="0" w:color="99C6D7"/>
            <w:bottom w:val="none" w:sz="0" w:space="0" w:color="auto"/>
            <w:right w:val="none" w:sz="0" w:space="0" w:color="auto"/>
          </w:divBdr>
        </w:div>
      </w:divsChild>
    </w:div>
    <w:div w:id="660087773">
      <w:bodyDiv w:val="1"/>
      <w:marLeft w:val="0"/>
      <w:marRight w:val="0"/>
      <w:marTop w:val="0"/>
      <w:marBottom w:val="0"/>
      <w:divBdr>
        <w:top w:val="none" w:sz="0" w:space="0" w:color="auto"/>
        <w:left w:val="none" w:sz="0" w:space="0" w:color="auto"/>
        <w:bottom w:val="none" w:sz="0" w:space="0" w:color="auto"/>
        <w:right w:val="none" w:sz="0" w:space="0" w:color="auto"/>
      </w:divBdr>
    </w:div>
    <w:div w:id="660155872">
      <w:bodyDiv w:val="1"/>
      <w:marLeft w:val="0"/>
      <w:marRight w:val="0"/>
      <w:marTop w:val="0"/>
      <w:marBottom w:val="0"/>
      <w:divBdr>
        <w:top w:val="none" w:sz="0" w:space="0" w:color="auto"/>
        <w:left w:val="none" w:sz="0" w:space="0" w:color="auto"/>
        <w:bottom w:val="none" w:sz="0" w:space="0" w:color="auto"/>
        <w:right w:val="none" w:sz="0" w:space="0" w:color="auto"/>
      </w:divBdr>
    </w:div>
    <w:div w:id="1963610346">
      <w:bodyDiv w:val="1"/>
      <w:marLeft w:val="0"/>
      <w:marRight w:val="0"/>
      <w:marTop w:val="0"/>
      <w:marBottom w:val="0"/>
      <w:divBdr>
        <w:top w:val="none" w:sz="0" w:space="0" w:color="auto"/>
        <w:left w:val="none" w:sz="0" w:space="0" w:color="auto"/>
        <w:bottom w:val="none" w:sz="0" w:space="0" w:color="auto"/>
        <w:right w:val="none" w:sz="0" w:space="0" w:color="auto"/>
      </w:divBdr>
    </w:div>
    <w:div w:id="20821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isc.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linicaltrials.gov/ct2/results?recrs=&amp;cond=&amp;term=remdesivir&amp;cntry=&amp;st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1041-3102-494B-9F9D-2F06E3B3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11635</TotalTime>
  <Pages>19</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SOHINI CHAKRABORTI</dc:creator>
  <cp:keywords/>
  <dc:description/>
  <cp:lastModifiedBy>Jeeva B.</cp:lastModifiedBy>
  <cp:revision>132</cp:revision>
  <cp:lastPrinted>2021-05-27T11:22:00Z</cp:lastPrinted>
  <dcterms:created xsi:type="dcterms:W3CDTF">2020-11-10T12:33:00Z</dcterms:created>
  <dcterms:modified xsi:type="dcterms:W3CDTF">2021-06-18T13:36:00Z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96f11e61-972e-3b54-8ec1-8598c02e561f</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http://www.zotero.org/styles/bioinformatics</vt:lpwstr>
  </property>
  <property fmtid="{D5CDD505-2E9C-101B-9397-08002B2CF9AE}" pid="12" name="Mendeley Recent Style Name 3_1">
    <vt:lpwstr>Bioinformatics</vt:lpwstr>
  </property>
  <property fmtid="{D5CDD505-2E9C-101B-9397-08002B2CF9AE}" pid="13" name="Mendeley Recent Style Id 4_1">
    <vt:lpwstr>http://www.zotero.org/styles/frontiers-in-molecular-biosciences</vt:lpwstr>
  </property>
  <property fmtid="{D5CDD505-2E9C-101B-9397-08002B2CF9AE}" pid="14" name="Mendeley Recent Style Name 4_1">
    <vt:lpwstr>Frontiers in Molecular Biosciences</vt:lpwstr>
  </property>
  <property fmtid="{D5CDD505-2E9C-101B-9397-08002B2CF9AE}" pid="15" name="Mendeley Recent Style Id 5_1">
    <vt:lpwstr>http://www.zotero.org/styles/international-journal-of-molecular-sciences</vt:lpwstr>
  </property>
  <property fmtid="{D5CDD505-2E9C-101B-9397-08002B2CF9AE}" pid="16" name="Mendeley Recent Style Name 5_1">
    <vt:lpwstr>International Journal of Molecular Sciences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http://www.zotero.org/styles/springer-basic-brackets</vt:lpwstr>
  </property>
  <property fmtid="{D5CDD505-2E9C-101B-9397-08002B2CF9AE}" pid="20" name="Mendeley Recent Style Name 7_1">
    <vt:lpwstr>Springer - Basic (numeric, brackets)</vt:lpwstr>
  </property>
  <property fmtid="{D5CDD505-2E9C-101B-9397-08002B2CF9AE}" pid="21" name="Mendeley Recent Style Id 8_1">
    <vt:lpwstr>http://www.zotero.org/styles/springer-basic-brackets-no-et-al</vt:lpwstr>
  </property>
  <property fmtid="{D5CDD505-2E9C-101B-9397-08002B2CF9AE}" pid="22" name="Mendeley Recent Style Name 8_1">
    <vt:lpwstr>Springer - Basic (numeric, brackets, no "et al.")</vt:lpwstr>
  </property>
  <property fmtid="{D5CDD505-2E9C-101B-9397-08002B2CF9AE}" pid="23" name="Mendeley Recent Style Id 9_1">
    <vt:lpwstr>http://www.zotero.org/styles/springer-basic-brackets-no-et-al-alphabetical</vt:lpwstr>
  </property>
  <property fmtid="{D5CDD505-2E9C-101B-9397-08002B2CF9AE}" pid="24" name="Mendeley Recent Style Name 9_1">
    <vt:lpwstr>Springer - Basic (numeric, brackets, no "et al.", alphabetical)</vt:lpwstr>
  </property>
</Properties>
</file>