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76A" w:rsidRPr="004B376A" w:rsidRDefault="004B376A" w:rsidP="00A61A3E">
      <w:pPr>
        <w:spacing w:line="480" w:lineRule="auto"/>
        <w:jc w:val="center"/>
        <w:rPr>
          <w:rFonts w:eastAsia="Times New Roman"/>
          <w:b/>
          <w:sz w:val="28"/>
          <w:szCs w:val="28"/>
          <w:u w:val="single"/>
        </w:rPr>
      </w:pPr>
      <w:r w:rsidRPr="004B376A">
        <w:rPr>
          <w:rFonts w:eastAsia="Times New Roman"/>
          <w:b/>
          <w:sz w:val="28"/>
          <w:szCs w:val="28"/>
          <w:u w:val="single"/>
        </w:rPr>
        <w:t>Supplementary section</w:t>
      </w:r>
    </w:p>
    <w:p w:rsidR="00EB4F04" w:rsidRDefault="001719CD" w:rsidP="00EB4F04">
      <w:pPr>
        <w:spacing w:line="480" w:lineRule="auto"/>
        <w:jc w:val="center"/>
        <w:rPr>
          <w:b/>
          <w:bCs/>
          <w:color w:val="222222"/>
          <w:sz w:val="28"/>
          <w:szCs w:val="28"/>
          <w:shd w:val="clear" w:color="auto" w:fill="FFFFFF"/>
        </w:rPr>
      </w:pPr>
      <w:r w:rsidRPr="00C05089">
        <w:rPr>
          <w:b/>
          <w:bCs/>
          <w:sz w:val="28"/>
          <w:szCs w:val="28"/>
          <w:shd w:val="clear" w:color="auto" w:fill="FFFFFF"/>
        </w:rPr>
        <w:t>Impact of ‘core-shell’ mode of printing on properties of 3D binderjet printed zirconia-alumina based bioceramics</w:t>
      </w:r>
    </w:p>
    <w:p w:rsidR="00EB289B" w:rsidRDefault="00EB289B" w:rsidP="00EB4F04">
      <w:pPr>
        <w:spacing w:line="480" w:lineRule="auto"/>
        <w:jc w:val="center"/>
        <w:rPr>
          <w:b/>
          <w:sz w:val="22"/>
          <w:szCs w:val="22"/>
        </w:rPr>
      </w:pPr>
      <w:r w:rsidRPr="00BF0872">
        <w:rPr>
          <w:b/>
          <w:sz w:val="22"/>
          <w:szCs w:val="22"/>
        </w:rPr>
        <w:t>Srimanta Barui</w:t>
      </w:r>
      <w:r w:rsidRPr="00BF0872"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  <w:vertAlign w:val="superscript"/>
        </w:rPr>
        <w:t>*</w:t>
      </w:r>
      <w:r w:rsidRPr="00BF0872"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Sheetal</w:t>
      </w:r>
      <w:proofErr w:type="spellEnd"/>
      <w:r>
        <w:rPr>
          <w:b/>
          <w:sz w:val="22"/>
          <w:szCs w:val="22"/>
        </w:rPr>
        <w:t xml:space="preserve"> Chowdhury</w:t>
      </w:r>
      <w:r w:rsidRPr="00BF0872">
        <w:rPr>
          <w:b/>
          <w:sz w:val="22"/>
          <w:szCs w:val="22"/>
          <w:vertAlign w:val="superscript"/>
        </w:rPr>
        <w:t>1</w:t>
      </w:r>
      <w:r w:rsidRPr="00BF0872">
        <w:rPr>
          <w:b/>
          <w:sz w:val="22"/>
          <w:szCs w:val="22"/>
        </w:rPr>
        <w:t xml:space="preserve">, </w:t>
      </w:r>
      <w:proofErr w:type="spellStart"/>
      <w:r w:rsidRPr="00435EED">
        <w:rPr>
          <w:b/>
          <w:sz w:val="22"/>
          <w:szCs w:val="22"/>
        </w:rPr>
        <w:t>Rajarshi</w:t>
      </w:r>
      <w:proofErr w:type="spellEnd"/>
      <w:r>
        <w:rPr>
          <w:b/>
          <w:sz w:val="22"/>
          <w:szCs w:val="22"/>
        </w:rPr>
        <w:t xml:space="preserve"> Samajdar</w:t>
      </w:r>
      <w:r>
        <w:rPr>
          <w:b/>
          <w:sz w:val="22"/>
          <w:szCs w:val="22"/>
          <w:vertAlign w:val="superscript"/>
        </w:rPr>
        <w:t>3</w:t>
      </w:r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Srijan</w:t>
      </w:r>
      <w:proofErr w:type="spellEnd"/>
      <w:r>
        <w:rPr>
          <w:b/>
          <w:sz w:val="22"/>
          <w:szCs w:val="22"/>
        </w:rPr>
        <w:t xml:space="preserve"> </w:t>
      </w:r>
      <w:r w:rsidRPr="00435EED">
        <w:rPr>
          <w:b/>
          <w:sz w:val="22"/>
          <w:szCs w:val="22"/>
        </w:rPr>
        <w:t>Chakraborty</w:t>
      </w:r>
      <w:r>
        <w:rPr>
          <w:b/>
          <w:sz w:val="22"/>
          <w:szCs w:val="22"/>
          <w:vertAlign w:val="superscript"/>
        </w:rPr>
        <w:t>4</w:t>
      </w:r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Meeta</w:t>
      </w:r>
      <w:proofErr w:type="spellEnd"/>
      <w:r>
        <w:rPr>
          <w:b/>
          <w:sz w:val="22"/>
          <w:szCs w:val="22"/>
        </w:rPr>
        <w:t xml:space="preserve"> Gavade</w:t>
      </w:r>
      <w:r>
        <w:rPr>
          <w:b/>
          <w:sz w:val="22"/>
          <w:szCs w:val="22"/>
          <w:vertAlign w:val="superscript"/>
        </w:rPr>
        <w:t>5</w:t>
      </w:r>
      <w:r>
        <w:rPr>
          <w:b/>
          <w:sz w:val="22"/>
          <w:szCs w:val="22"/>
        </w:rPr>
        <w:t xml:space="preserve"> and </w:t>
      </w:r>
      <w:proofErr w:type="spellStart"/>
      <w:r w:rsidRPr="00BF0872">
        <w:rPr>
          <w:b/>
          <w:sz w:val="22"/>
          <w:szCs w:val="22"/>
        </w:rPr>
        <w:t>Bikramjit</w:t>
      </w:r>
      <w:proofErr w:type="spellEnd"/>
      <w:r w:rsidRPr="00BF0872">
        <w:rPr>
          <w:b/>
          <w:sz w:val="22"/>
          <w:szCs w:val="22"/>
        </w:rPr>
        <w:t xml:space="preserve"> Basu</w:t>
      </w:r>
      <w:r>
        <w:rPr>
          <w:b/>
          <w:sz w:val="22"/>
          <w:szCs w:val="22"/>
          <w:vertAlign w:val="superscript"/>
        </w:rPr>
        <w:t>1</w:t>
      </w:r>
      <w:proofErr w:type="gramStart"/>
      <w:r>
        <w:rPr>
          <w:b/>
          <w:sz w:val="22"/>
          <w:szCs w:val="22"/>
          <w:vertAlign w:val="superscript"/>
        </w:rPr>
        <w:t>,2</w:t>
      </w:r>
      <w:proofErr w:type="gramEnd"/>
      <w:r>
        <w:rPr>
          <w:b/>
          <w:sz w:val="22"/>
          <w:szCs w:val="22"/>
          <w:vertAlign w:val="superscript"/>
        </w:rPr>
        <w:t>*</w:t>
      </w:r>
      <w:r w:rsidRPr="00BF0872">
        <w:rPr>
          <w:b/>
          <w:sz w:val="22"/>
          <w:szCs w:val="22"/>
        </w:rPr>
        <w:t xml:space="preserve"> </w:t>
      </w:r>
    </w:p>
    <w:p w:rsidR="00EB289B" w:rsidRDefault="00EB289B" w:rsidP="00EB289B">
      <w:pPr>
        <w:spacing w:line="240" w:lineRule="auto"/>
        <w:jc w:val="center"/>
        <w:rPr>
          <w:sz w:val="20"/>
          <w:szCs w:val="20"/>
        </w:rPr>
      </w:pPr>
      <w:r w:rsidRPr="00BF0872">
        <w:rPr>
          <w:b/>
          <w:sz w:val="22"/>
          <w:szCs w:val="22"/>
        </w:rPr>
        <w:br/>
      </w:r>
      <w:r>
        <w:rPr>
          <w:sz w:val="20"/>
          <w:szCs w:val="20"/>
          <w:vertAlign w:val="superscript"/>
        </w:rPr>
        <w:t>1</w:t>
      </w:r>
      <w:r w:rsidRPr="00BF0872">
        <w:rPr>
          <w:sz w:val="20"/>
          <w:szCs w:val="20"/>
        </w:rPr>
        <w:t>Laboratory for Biomaterials and Translational Center on Biomaterials for Orthopedic and Dental Applications, Materials Research Centre, Indian Institu</w:t>
      </w:r>
      <w:r>
        <w:rPr>
          <w:sz w:val="20"/>
          <w:szCs w:val="20"/>
        </w:rPr>
        <w:t>te of Science, Bangalore, India</w:t>
      </w:r>
    </w:p>
    <w:p w:rsidR="00EB289B" w:rsidRDefault="00EB289B" w:rsidP="00EB289B">
      <w:pPr>
        <w:spacing w:line="240" w:lineRule="auto"/>
        <w:jc w:val="center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vertAlign w:val="superscript"/>
          <w:lang w:val="en-GB"/>
        </w:rPr>
        <w:t>2</w:t>
      </w:r>
      <w:r w:rsidRPr="003665D3">
        <w:rPr>
          <w:iCs/>
          <w:sz w:val="20"/>
          <w:szCs w:val="20"/>
          <w:lang w:val="en-GB"/>
        </w:rPr>
        <w:t xml:space="preserve">Centre for </w:t>
      </w:r>
      <w:proofErr w:type="spellStart"/>
      <w:r w:rsidRPr="003665D3">
        <w:rPr>
          <w:iCs/>
          <w:sz w:val="20"/>
          <w:szCs w:val="20"/>
          <w:lang w:val="en-GB"/>
        </w:rPr>
        <w:t>Biosystems</w:t>
      </w:r>
      <w:proofErr w:type="spellEnd"/>
      <w:r w:rsidRPr="003665D3">
        <w:rPr>
          <w:iCs/>
          <w:sz w:val="20"/>
          <w:szCs w:val="20"/>
          <w:lang w:val="en-GB"/>
        </w:rPr>
        <w:t xml:space="preserve"> Science and Engineering, Indian Institute of Science, Bangalore, India</w:t>
      </w:r>
    </w:p>
    <w:p w:rsidR="00EB289B" w:rsidRDefault="00EB289B" w:rsidP="00EB289B">
      <w:pPr>
        <w:spacing w:line="240" w:lineRule="auto"/>
        <w:jc w:val="center"/>
        <w:rPr>
          <w:bCs/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Department of Chemical Engineering, </w:t>
      </w:r>
      <w:r>
        <w:rPr>
          <w:bCs/>
          <w:sz w:val="20"/>
          <w:szCs w:val="20"/>
        </w:rPr>
        <w:t>Institute o</w:t>
      </w:r>
      <w:r w:rsidRPr="00EE221B">
        <w:rPr>
          <w:bCs/>
          <w:sz w:val="20"/>
          <w:szCs w:val="20"/>
        </w:rPr>
        <w:t>f Chemical Technology, Mumbai, India</w:t>
      </w:r>
    </w:p>
    <w:p w:rsidR="00EB289B" w:rsidRPr="00EE221B" w:rsidRDefault="00EB289B" w:rsidP="00EB289B">
      <w:pPr>
        <w:spacing w:line="240" w:lineRule="auto"/>
        <w:jc w:val="center"/>
        <w:rPr>
          <w:sz w:val="20"/>
          <w:szCs w:val="20"/>
        </w:rPr>
      </w:pPr>
      <w:r>
        <w:rPr>
          <w:bCs/>
          <w:sz w:val="20"/>
          <w:szCs w:val="20"/>
          <w:vertAlign w:val="superscript"/>
        </w:rPr>
        <w:t>4</w:t>
      </w:r>
      <w:r w:rsidRPr="00EE221B">
        <w:rPr>
          <w:bCs/>
          <w:sz w:val="20"/>
          <w:szCs w:val="20"/>
        </w:rPr>
        <w:t>School of Mechanical Engineering, </w:t>
      </w:r>
      <w:proofErr w:type="spellStart"/>
      <w:r w:rsidRPr="00EE221B">
        <w:rPr>
          <w:bCs/>
          <w:sz w:val="20"/>
          <w:szCs w:val="20"/>
        </w:rPr>
        <w:t>Kalinga</w:t>
      </w:r>
      <w:proofErr w:type="spellEnd"/>
      <w:r w:rsidRPr="00EE221B">
        <w:rPr>
          <w:bCs/>
          <w:sz w:val="20"/>
          <w:szCs w:val="20"/>
        </w:rPr>
        <w:t xml:space="preserve"> Institute of Industrial Technology, Bhubaneswar, India</w:t>
      </w:r>
    </w:p>
    <w:p w:rsidR="00EB289B" w:rsidRDefault="00EB289B" w:rsidP="00EB289B">
      <w:pPr>
        <w:spacing w:line="240" w:lineRule="auto"/>
        <w:jc w:val="center"/>
        <w:rPr>
          <w:bCs/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 w:rsidRPr="00CC4472">
        <w:rPr>
          <w:bCs/>
          <w:sz w:val="20"/>
          <w:szCs w:val="20"/>
        </w:rPr>
        <w:t>BVB College of Engineering and Technology</w:t>
      </w:r>
      <w:r>
        <w:rPr>
          <w:bCs/>
          <w:sz w:val="20"/>
          <w:szCs w:val="20"/>
        </w:rPr>
        <w:t>,</w:t>
      </w:r>
      <w:r w:rsidRPr="00CC4472">
        <w:rPr>
          <w:bCs/>
          <w:sz w:val="20"/>
          <w:szCs w:val="20"/>
        </w:rPr>
        <w:t xml:space="preserve"> KLE technological University, </w:t>
      </w:r>
      <w:proofErr w:type="spellStart"/>
      <w:r w:rsidRPr="00CC4472">
        <w:rPr>
          <w:bCs/>
          <w:sz w:val="20"/>
          <w:szCs w:val="20"/>
        </w:rPr>
        <w:t>Hubli</w:t>
      </w:r>
      <w:proofErr w:type="spellEnd"/>
      <w:r w:rsidRPr="00CC4472">
        <w:rPr>
          <w:bCs/>
          <w:sz w:val="20"/>
          <w:szCs w:val="20"/>
        </w:rPr>
        <w:t>, India</w:t>
      </w:r>
    </w:p>
    <w:p w:rsidR="00EB289B" w:rsidRPr="00EB289B" w:rsidRDefault="00EB289B" w:rsidP="00EB289B">
      <w:pPr>
        <w:spacing w:line="240" w:lineRule="auto"/>
        <w:jc w:val="center"/>
        <w:rPr>
          <w:rFonts w:eastAsia="Times New Roman"/>
          <w:b/>
          <w:color w:val="222222"/>
          <w:sz w:val="22"/>
          <w:szCs w:val="22"/>
        </w:rPr>
      </w:pPr>
      <w:r w:rsidRPr="00EB289B">
        <w:rPr>
          <w:sz w:val="22"/>
          <w:szCs w:val="22"/>
        </w:rPr>
        <w:t xml:space="preserve">*Joint corresponding author: </w:t>
      </w:r>
      <w:hyperlink r:id="rId4" w:history="1">
        <w:r w:rsidRPr="00EB289B">
          <w:rPr>
            <w:rStyle w:val="Hyperlink"/>
            <w:sz w:val="22"/>
            <w:szCs w:val="22"/>
          </w:rPr>
          <w:t>bikram@iisc.ac.in</w:t>
        </w:r>
      </w:hyperlink>
      <w:r w:rsidRPr="00EB289B">
        <w:rPr>
          <w:sz w:val="22"/>
          <w:szCs w:val="22"/>
        </w:rPr>
        <w:t xml:space="preserve"> and </w:t>
      </w:r>
      <w:hyperlink r:id="rId5" w:history="1">
        <w:r w:rsidRPr="00EB289B">
          <w:rPr>
            <w:rStyle w:val="Hyperlink"/>
            <w:sz w:val="22"/>
            <w:szCs w:val="22"/>
          </w:rPr>
          <w:t>btssb.uttaran@gmail.com</w:t>
        </w:r>
      </w:hyperlink>
    </w:p>
    <w:p w:rsidR="00EB289B" w:rsidRDefault="00EB289B" w:rsidP="004B376A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412339" w:rsidRPr="00412339" w:rsidRDefault="00412339" w:rsidP="00412339">
      <w:pPr>
        <w:spacing w:line="360" w:lineRule="auto"/>
        <w:jc w:val="both"/>
        <w:rPr>
          <w:rFonts w:eastAsia="Times New Roman"/>
        </w:rPr>
      </w:pPr>
      <w:r>
        <w:rPr>
          <w:rFonts w:eastAsia="Times New Roman"/>
          <w:b/>
        </w:rPr>
        <w:t xml:space="preserve">Table S1: </w:t>
      </w:r>
      <w:r>
        <w:rPr>
          <w:rFonts w:eastAsia="Times New Roman"/>
        </w:rPr>
        <w:t xml:space="preserve">Acrylic binder physical properties and the dimensionless numbers of fluid physics to endorse </w:t>
      </w:r>
      <w:r w:rsidR="00600D12">
        <w:rPr>
          <w:rFonts w:eastAsia="Times New Roman"/>
        </w:rPr>
        <w:t>‘</w:t>
      </w:r>
      <w:r>
        <w:rPr>
          <w:rFonts w:eastAsia="Times New Roman"/>
        </w:rPr>
        <w:t>binderjet printability</w:t>
      </w:r>
      <w:r w:rsidR="00600D12">
        <w:rPr>
          <w:rFonts w:eastAsia="Times New Roman"/>
        </w:rPr>
        <w:t>’</w:t>
      </w:r>
      <w:r>
        <w:rPr>
          <w:rFonts w:eastAsia="Times New Roman"/>
        </w:rPr>
        <w:t xml:space="preserve">. </w:t>
      </w:r>
      <w:r w:rsidR="00600D12">
        <w:rPr>
          <w:rFonts w:eastAsia="Times New Roman"/>
        </w:rPr>
        <w:t>For a</w:t>
      </w:r>
      <w:r w:rsidR="004A2024">
        <w:rPr>
          <w:rFonts w:eastAsia="Times New Roman"/>
        </w:rPr>
        <w:t>n inkjet</w:t>
      </w:r>
      <w:r w:rsidR="00600D12">
        <w:rPr>
          <w:rFonts w:eastAsia="Times New Roman"/>
        </w:rPr>
        <w:t xml:space="preserve"> printable fluid, Oh </w:t>
      </w:r>
      <w:r w:rsidR="004A2024">
        <w:rPr>
          <w:rFonts w:eastAsia="Times New Roman"/>
        </w:rPr>
        <w:t xml:space="preserve">and Re </w:t>
      </w:r>
      <w:r w:rsidR="00600D12">
        <w:rPr>
          <w:rFonts w:eastAsia="Times New Roman"/>
        </w:rPr>
        <w:t>number should be in the range of 0.1 – 1.0 and 5 – 100</w:t>
      </w:r>
      <w:r w:rsidR="004A2024">
        <w:rPr>
          <w:rFonts w:eastAsia="Times New Roman"/>
        </w:rPr>
        <w:t xml:space="preserve"> respectively</w:t>
      </w:r>
      <w:r w:rsidR="00600D12">
        <w:rPr>
          <w:rFonts w:eastAsia="Times New Roman"/>
        </w:rPr>
        <w:t xml:space="preserve">. </w:t>
      </w:r>
    </w:p>
    <w:tbl>
      <w:tblPr>
        <w:tblStyle w:val="TableGrid"/>
        <w:tblW w:w="0" w:type="auto"/>
        <w:jc w:val="center"/>
        <w:tblInd w:w="-568" w:type="dxa"/>
        <w:tblLook w:val="04A0"/>
      </w:tblPr>
      <w:tblGrid>
        <w:gridCol w:w="1841"/>
        <w:gridCol w:w="1559"/>
        <w:gridCol w:w="1559"/>
        <w:gridCol w:w="2260"/>
        <w:gridCol w:w="1853"/>
      </w:tblGrid>
      <w:tr w:rsidR="00B85A9E" w:rsidRPr="00B85A9E" w:rsidTr="00EE56DC">
        <w:trPr>
          <w:jc w:val="center"/>
        </w:trPr>
        <w:tc>
          <w:tcPr>
            <w:tcW w:w="4959" w:type="dxa"/>
            <w:gridSpan w:val="3"/>
          </w:tcPr>
          <w:p w:rsidR="00B85A9E" w:rsidRPr="00B85A9E" w:rsidRDefault="00B85A9E" w:rsidP="00EE5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b/>
                <w:sz w:val="24"/>
                <w:szCs w:val="24"/>
              </w:rPr>
              <w:t>Diameter (D) of the printed droplets of binder</w:t>
            </w:r>
          </w:p>
        </w:tc>
        <w:tc>
          <w:tcPr>
            <w:tcW w:w="4113" w:type="dxa"/>
            <w:gridSpan w:val="2"/>
          </w:tcPr>
          <w:p w:rsidR="00B85A9E" w:rsidRPr="00B85A9E" w:rsidRDefault="00B85A9E" w:rsidP="00EE56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Velocity (v) of printed droplets </w:t>
            </w:r>
          </w:p>
        </w:tc>
      </w:tr>
      <w:tr w:rsidR="00B85A9E" w:rsidRPr="00B85A9E" w:rsidTr="00EE56DC">
        <w:trPr>
          <w:jc w:val="center"/>
        </w:trPr>
        <w:tc>
          <w:tcPr>
            <w:tcW w:w="1841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</w:rPr>
              <w:t xml:space="preserve"> (µm)</w:t>
            </w:r>
          </w:p>
        </w:tc>
        <w:tc>
          <w:tcPr>
            <w:tcW w:w="1559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max </w:t>
            </w: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(µm)</w:t>
            </w:r>
          </w:p>
        </w:tc>
        <w:tc>
          <w:tcPr>
            <w:tcW w:w="1559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av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10,</w:t>
            </w: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 xml:space="preserve"> µm)</w:t>
            </w:r>
          </w:p>
        </w:tc>
        <w:tc>
          <w:tcPr>
            <w:tcW w:w="2260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(m/s)</w:t>
            </w:r>
          </w:p>
        </w:tc>
        <w:tc>
          <w:tcPr>
            <w:tcW w:w="1853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A9E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(m/s)</w:t>
            </w:r>
          </w:p>
        </w:tc>
      </w:tr>
      <w:tr w:rsidR="00B85A9E" w:rsidRPr="00B85A9E" w:rsidTr="00EE56DC">
        <w:trPr>
          <w:jc w:val="center"/>
        </w:trPr>
        <w:tc>
          <w:tcPr>
            <w:tcW w:w="1841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8 - 15</w:t>
            </w:r>
          </w:p>
        </w:tc>
        <w:tc>
          <w:tcPr>
            <w:tcW w:w="1559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70-77</w:t>
            </w:r>
          </w:p>
        </w:tc>
        <w:tc>
          <w:tcPr>
            <w:tcW w:w="1559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60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0.1 - 0.5</w:t>
            </w:r>
          </w:p>
        </w:tc>
        <w:tc>
          <w:tcPr>
            <w:tcW w:w="1853" w:type="dxa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B85A9E" w:rsidRPr="00B85A9E" w:rsidTr="00B85A9E">
        <w:trPr>
          <w:jc w:val="center"/>
        </w:trPr>
        <w:tc>
          <w:tcPr>
            <w:tcW w:w="9072" w:type="dxa"/>
            <w:gridSpan w:val="5"/>
          </w:tcPr>
          <w:p w:rsidR="00B85A9E" w:rsidRPr="00B85A9E" w:rsidRDefault="00B85A9E" w:rsidP="0027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b/>
                <w:sz w:val="24"/>
                <w:szCs w:val="24"/>
              </w:rPr>
              <w:t>Fluid physical properties and dimensionless numbers of fluid physics</w:t>
            </w:r>
          </w:p>
        </w:tc>
      </w:tr>
      <w:tr w:rsidR="00B85A9E" w:rsidRPr="00B85A9E" w:rsidTr="00EE56DC">
        <w:trPr>
          <w:trHeight w:val="762"/>
          <w:jc w:val="center"/>
        </w:trPr>
        <w:tc>
          <w:tcPr>
            <w:tcW w:w="1841" w:type="dxa"/>
          </w:tcPr>
          <w:p w:rsidR="00B85A9E" w:rsidRPr="00B85A9E" w:rsidRDefault="00B85A9E" w:rsidP="006C6F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Surface tension</w:t>
            </w:r>
          </w:p>
          <w:p w:rsidR="00B85A9E" w:rsidRPr="00B85A9E" w:rsidRDefault="00B85A9E" w:rsidP="006C6F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/m)</w:t>
            </w:r>
          </w:p>
        </w:tc>
        <w:tc>
          <w:tcPr>
            <w:tcW w:w="1559" w:type="dxa"/>
          </w:tcPr>
          <w:p w:rsidR="00B85A9E" w:rsidRPr="00B85A9E" w:rsidRDefault="00B85A9E" w:rsidP="00AD49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Dynamic viscosity</w:t>
            </w:r>
          </w:p>
          <w:p w:rsidR="00B85A9E" w:rsidRPr="00B85A9E" w:rsidRDefault="00B85A9E" w:rsidP="00AD49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(mPa.s)</w:t>
            </w:r>
          </w:p>
        </w:tc>
        <w:tc>
          <w:tcPr>
            <w:tcW w:w="1559" w:type="dxa"/>
          </w:tcPr>
          <w:p w:rsidR="00B85A9E" w:rsidRPr="00B85A9E" w:rsidRDefault="00B85A9E" w:rsidP="00F952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Weber number</w:t>
            </w:r>
          </w:p>
          <w:p w:rsidR="00B85A9E" w:rsidRPr="00B85A9E" w:rsidRDefault="00B85A9E" w:rsidP="00F952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(We)</w:t>
            </w:r>
          </w:p>
        </w:tc>
        <w:tc>
          <w:tcPr>
            <w:tcW w:w="2260" w:type="dxa"/>
          </w:tcPr>
          <w:p w:rsidR="00B85A9E" w:rsidRPr="00B85A9E" w:rsidRDefault="00B85A9E" w:rsidP="00715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Reynolds number</w:t>
            </w:r>
          </w:p>
          <w:p w:rsidR="00B85A9E" w:rsidRPr="00B85A9E" w:rsidRDefault="00B85A9E" w:rsidP="00715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(Re)</w:t>
            </w:r>
          </w:p>
        </w:tc>
        <w:tc>
          <w:tcPr>
            <w:tcW w:w="1853" w:type="dxa"/>
          </w:tcPr>
          <w:p w:rsidR="00B85A9E" w:rsidRPr="00B85A9E" w:rsidRDefault="00B85A9E" w:rsidP="006345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Ohnesorge</w:t>
            </w:r>
            <w:proofErr w:type="spellEnd"/>
            <w:r w:rsidRPr="00B85A9E">
              <w:rPr>
                <w:rFonts w:ascii="Times New Roman" w:hAnsi="Times New Roman" w:cs="Times New Roman"/>
                <w:sz w:val="24"/>
                <w:szCs w:val="24"/>
              </w:rPr>
              <w:t xml:space="preserve"> number (Oh)</w:t>
            </w:r>
          </w:p>
        </w:tc>
      </w:tr>
      <w:tr w:rsidR="00B85A9E" w:rsidRPr="00B85A9E" w:rsidTr="00EE56DC">
        <w:trPr>
          <w:jc w:val="center"/>
        </w:trPr>
        <w:tc>
          <w:tcPr>
            <w:tcW w:w="1841" w:type="dxa"/>
          </w:tcPr>
          <w:p w:rsidR="00B85A9E" w:rsidRPr="00B85A9E" w:rsidRDefault="00B85A9E" w:rsidP="00F234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B85A9E" w:rsidRPr="00B85A9E" w:rsidRDefault="00B85A9E" w:rsidP="00AD49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B85A9E" w:rsidRPr="00B85A9E" w:rsidRDefault="00B85A9E" w:rsidP="00F952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6.44</w:t>
            </w:r>
          </w:p>
        </w:tc>
        <w:tc>
          <w:tcPr>
            <w:tcW w:w="2260" w:type="dxa"/>
          </w:tcPr>
          <w:p w:rsidR="00B85A9E" w:rsidRPr="00B85A9E" w:rsidRDefault="00B85A9E" w:rsidP="00715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853" w:type="dxa"/>
          </w:tcPr>
          <w:p w:rsidR="00B85A9E" w:rsidRPr="00B85A9E" w:rsidRDefault="00B85A9E" w:rsidP="006345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A9E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</w:tr>
    </w:tbl>
    <w:p w:rsidR="00412339" w:rsidRPr="00412339" w:rsidRDefault="00412339" w:rsidP="004B376A">
      <w:pPr>
        <w:spacing w:line="360" w:lineRule="auto"/>
        <w:jc w:val="center"/>
        <w:rPr>
          <w:rFonts w:eastAsia="Times New Roman"/>
          <w:b/>
        </w:rPr>
      </w:pPr>
    </w:p>
    <w:p w:rsidR="00760E71" w:rsidRDefault="005C19E4" w:rsidP="005C19E4">
      <w:pPr>
        <w:spacing w:line="360" w:lineRule="auto"/>
        <w:jc w:val="center"/>
      </w:pPr>
      <w:r w:rsidRPr="005C19E4">
        <w:rPr>
          <w:noProof/>
        </w:rPr>
        <w:lastRenderedPageBreak/>
        <w:drawing>
          <wp:inline distT="0" distB="0" distL="0" distR="0">
            <wp:extent cx="4585730" cy="4491166"/>
            <wp:effectExtent l="19050" t="19050" r="24370" b="23684"/>
            <wp:docPr id="10" name="Picture 1" descr="C:\Users\Srimanta\Desktop\bed prepar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manta\Desktop\bed preparatio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72" cy="4501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E4" w:rsidRDefault="005C19E4" w:rsidP="005C19E4">
      <w:pPr>
        <w:spacing w:after="100" w:line="360" w:lineRule="auto"/>
        <w:jc w:val="both"/>
      </w:pPr>
      <w:r w:rsidRPr="00DE4D45">
        <w:rPr>
          <w:b/>
        </w:rPr>
        <w:t xml:space="preserve">Figure </w:t>
      </w:r>
      <w:r w:rsidR="00FB220E">
        <w:rPr>
          <w:b/>
        </w:rPr>
        <w:t>S1</w:t>
      </w:r>
      <w:r w:rsidRPr="00DE4D45">
        <w:rPr>
          <w:b/>
        </w:rPr>
        <w:t>:</w:t>
      </w:r>
      <w:r w:rsidRPr="00DE4D45">
        <w:t xml:space="preserve"> Innovative approach to prepare smooth bed for zircon-zirconia based bioceramics. An as-deposited layer of cohesive particles without any layer treatment usually creates macroporous bed. A specially designed sprinkler can spray loose powder on the bed and when the next layer will be deposited, it will ensure a smooth layer. The printing follows after that and on the printed pattern, loose powder is sprayed again. The next layer is deposited over the loose powder, distributing it evenly </w:t>
      </w:r>
      <w:r w:rsidR="00977F87">
        <w:t>on</w:t>
      </w:r>
      <w:r w:rsidRPr="00DE4D45">
        <w:t xml:space="preserve"> the shallow pore valleys (if any) and mildly compressing, ensuring the next smooth layer before next printing. These steps were repeated until the complete architectures were built.</w:t>
      </w:r>
    </w:p>
    <w:p w:rsidR="00281D1B" w:rsidRDefault="00281D1B" w:rsidP="005C19E4">
      <w:pPr>
        <w:spacing w:after="100" w:line="360" w:lineRule="auto"/>
        <w:jc w:val="both"/>
      </w:pPr>
    </w:p>
    <w:p w:rsidR="00281D1B" w:rsidRPr="008F395E" w:rsidRDefault="00281D1B" w:rsidP="00281D1B">
      <w:pPr>
        <w:spacing w:after="100" w:line="480" w:lineRule="auto"/>
        <w:jc w:val="center"/>
      </w:pPr>
      <w:r w:rsidRPr="008F395E">
        <w:rPr>
          <w:noProof/>
        </w:rPr>
        <w:lastRenderedPageBreak/>
        <w:drawing>
          <wp:inline distT="0" distB="0" distL="0" distR="0">
            <wp:extent cx="3341988" cy="2864042"/>
            <wp:effectExtent l="19050" t="0" r="0" b="0"/>
            <wp:docPr id="8" name="Picture 2" descr="C:\Users\Srimanta\Desktop\Transformed monoclinic zirconia from from tetrag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imanta\Desktop\Transformed monoclinic zirconia from from tetrago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18" cy="28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1B" w:rsidRDefault="00281D1B" w:rsidP="00281D1B">
      <w:pPr>
        <w:spacing w:after="100" w:line="360" w:lineRule="auto"/>
        <w:jc w:val="both"/>
      </w:pPr>
      <w:r>
        <w:rPr>
          <w:b/>
        </w:rPr>
        <w:t>Figure S2</w:t>
      </w:r>
      <w:r w:rsidRPr="00AC155A">
        <w:rPr>
          <w:b/>
        </w:rPr>
        <w:t xml:space="preserve">: </w:t>
      </w:r>
      <w:r w:rsidRPr="00AC155A">
        <w:t xml:space="preserve">Phase assemblage of monoclinic zirconia transformed from unstabilised tetragonal zirconia (converted from </w:t>
      </w:r>
      <w:proofErr w:type="spellStart"/>
      <w:r w:rsidRPr="00AC155A">
        <w:t>zirconyl</w:t>
      </w:r>
      <w:proofErr w:type="spellEnd"/>
      <w:r w:rsidRPr="00AC155A">
        <w:t xml:space="preserve"> chloride </w:t>
      </w:r>
      <w:proofErr w:type="spellStart"/>
      <w:r w:rsidRPr="00AC155A">
        <w:t>octahydrate</w:t>
      </w:r>
      <w:proofErr w:type="spellEnd"/>
      <w:r w:rsidRPr="00AC155A">
        <w:t>) by virtue of high temperature sintering and subsequent cooling</w:t>
      </w:r>
    </w:p>
    <w:p w:rsidR="009D2902" w:rsidRDefault="009D2902" w:rsidP="00281D1B">
      <w:pPr>
        <w:spacing w:after="100" w:line="360" w:lineRule="auto"/>
        <w:jc w:val="both"/>
      </w:pPr>
    </w:p>
    <w:p w:rsidR="00760E71" w:rsidRDefault="00760E71" w:rsidP="00760E7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41333" cy="2792627"/>
            <wp:effectExtent l="19050" t="0" r="0" b="0"/>
            <wp:docPr id="3" name="Picture 1" descr="C:\Users\Srimanta\Desktop\Compresive stress strain_Zircon_Zirco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manta\Desktop\Compresive stress strain_Zircon_Zirconi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1" cy="279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71" w:rsidRPr="00964C5F" w:rsidRDefault="00760E71" w:rsidP="00760E71">
      <w:pPr>
        <w:spacing w:line="360" w:lineRule="auto"/>
        <w:jc w:val="both"/>
      </w:pPr>
      <w:r>
        <w:rPr>
          <w:b/>
        </w:rPr>
        <w:t>Figure S</w:t>
      </w:r>
      <w:r w:rsidR="00E94C2B">
        <w:rPr>
          <w:b/>
        </w:rPr>
        <w:t>3</w:t>
      </w:r>
      <w:r w:rsidRPr="00B337E9">
        <w:rPr>
          <w:b/>
        </w:rPr>
        <w:t>:</w:t>
      </w:r>
      <w:r>
        <w:rPr>
          <w:b/>
        </w:rPr>
        <w:t xml:space="preserve"> </w:t>
      </w:r>
      <w:r w:rsidRPr="00964C5F">
        <w:rPr>
          <w:lang w:val="en-GB"/>
        </w:rPr>
        <w:t xml:space="preserve">Representative stress-strain plots of </w:t>
      </w:r>
      <w:r>
        <w:rPr>
          <w:lang w:val="en-GB"/>
        </w:rPr>
        <w:t xml:space="preserve">binderjet </w:t>
      </w:r>
      <w:r w:rsidRPr="00964C5F">
        <w:rPr>
          <w:lang w:val="en-GB"/>
        </w:rPr>
        <w:t xml:space="preserve">printed-sintered microporous </w:t>
      </w:r>
      <w:r>
        <w:rPr>
          <w:lang w:val="en-GB"/>
        </w:rPr>
        <w:t>zircon-zirconia based cylinders demonstrating</w:t>
      </w:r>
      <w:r w:rsidRPr="00964C5F">
        <w:rPr>
          <w:lang w:val="en-GB"/>
        </w:rPr>
        <w:t xml:space="preserve"> </w:t>
      </w:r>
      <w:r>
        <w:rPr>
          <w:lang w:val="en-GB"/>
        </w:rPr>
        <w:t>progressive</w:t>
      </w:r>
      <w:r w:rsidRPr="00964C5F">
        <w:rPr>
          <w:lang w:val="en-GB"/>
        </w:rPr>
        <w:t xml:space="preserve"> failure. The </w:t>
      </w:r>
      <w:r>
        <w:rPr>
          <w:lang w:val="en-GB"/>
        </w:rPr>
        <w:t>sawtooth nature of the curves</w:t>
      </w:r>
      <w:r w:rsidRPr="00964C5F">
        <w:rPr>
          <w:lang w:val="en-GB"/>
        </w:rPr>
        <w:t xml:space="preserve"> </w:t>
      </w:r>
      <w:r>
        <w:rPr>
          <w:lang w:val="en-GB"/>
        </w:rPr>
        <w:t xml:space="preserve">arises </w:t>
      </w:r>
      <w:r w:rsidRPr="00964C5F">
        <w:rPr>
          <w:lang w:val="en-GB"/>
        </w:rPr>
        <w:t xml:space="preserve">due to </w:t>
      </w:r>
      <w:r>
        <w:rPr>
          <w:lang w:val="en-GB"/>
        </w:rPr>
        <w:t xml:space="preserve">the typical layer by layer </w:t>
      </w:r>
      <w:r w:rsidRPr="00964C5F">
        <w:rPr>
          <w:lang w:val="en-GB"/>
        </w:rPr>
        <w:t xml:space="preserve">failure of the </w:t>
      </w:r>
      <w:r>
        <w:rPr>
          <w:lang w:val="en-GB"/>
        </w:rPr>
        <w:t>micro</w:t>
      </w:r>
      <w:r w:rsidRPr="00964C5F">
        <w:rPr>
          <w:lang w:val="en-GB"/>
        </w:rPr>
        <w:t xml:space="preserve">porous </w:t>
      </w:r>
      <w:r>
        <w:rPr>
          <w:lang w:val="en-GB"/>
        </w:rPr>
        <w:t>architectures.</w:t>
      </w:r>
    </w:p>
    <w:p w:rsidR="00A61A3E" w:rsidRDefault="004B376A" w:rsidP="004B376A">
      <w:pPr>
        <w:spacing w:line="480" w:lineRule="auto"/>
        <w:jc w:val="center"/>
      </w:pPr>
      <w:r w:rsidRPr="004B376A">
        <w:rPr>
          <w:noProof/>
        </w:rPr>
        <w:lastRenderedPageBreak/>
        <w:drawing>
          <wp:inline distT="0" distB="0" distL="0" distR="0">
            <wp:extent cx="3959826" cy="4306330"/>
            <wp:effectExtent l="19050" t="0" r="2574" b="0"/>
            <wp:docPr id="1" name="Picture 1" descr="C:\Users\Srimanta\Desktop\cohesive bed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rimanta\Desktop\cohesive be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18" cy="430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76A" w:rsidRDefault="008355FB" w:rsidP="000F53FB">
      <w:pPr>
        <w:spacing w:line="360" w:lineRule="auto"/>
        <w:jc w:val="both"/>
      </w:pPr>
      <w:r w:rsidRPr="00B337E9">
        <w:rPr>
          <w:b/>
        </w:rPr>
        <w:t>Figure S</w:t>
      </w:r>
      <w:r w:rsidR="00E94C2B">
        <w:rPr>
          <w:b/>
        </w:rPr>
        <w:t>4</w:t>
      </w:r>
      <w:r w:rsidRPr="00B337E9">
        <w:rPr>
          <w:b/>
        </w:rPr>
        <w:t>:</w:t>
      </w:r>
      <w:r>
        <w:t xml:space="preserve"> Not all powders are binderjet printable. </w:t>
      </w:r>
      <w:r w:rsidR="006C38CD">
        <w:t xml:space="preserve">As shown in the above figure, the powder particles should </w:t>
      </w:r>
      <w:r w:rsidR="00171175">
        <w:t>possess</w:t>
      </w:r>
      <w:r w:rsidR="006C38CD">
        <w:t xml:space="preserve"> cohesive interactions with each other to be binderjet printable. This particular attribute </w:t>
      </w:r>
      <w:r w:rsidR="00197ACF">
        <w:t>gives rise to</w:t>
      </w:r>
      <w:r w:rsidR="006C38CD">
        <w:t xml:space="preserve"> an intimate bed packing during powder </w:t>
      </w:r>
      <w:r w:rsidR="002A111E">
        <w:t>layer</w:t>
      </w:r>
      <w:r w:rsidR="00F00649">
        <w:t>s</w:t>
      </w:r>
      <w:r w:rsidR="002A111E">
        <w:t xml:space="preserve"> </w:t>
      </w:r>
      <w:r w:rsidR="006C38CD">
        <w:t>d</w:t>
      </w:r>
      <w:r w:rsidR="0042501A">
        <w:t>eposition</w:t>
      </w:r>
      <w:r w:rsidR="00D604C1">
        <w:t xml:space="preserve"> by the spreader roller during printing. </w:t>
      </w:r>
      <w:r w:rsidR="00197ACF">
        <w:t xml:space="preserve">A controlled humidification and strategic blending with </w:t>
      </w:r>
      <w:r w:rsidR="00117A45">
        <w:t>metal</w:t>
      </w:r>
      <w:r w:rsidR="00DD17F5">
        <w:t>lic</w:t>
      </w:r>
      <w:r w:rsidR="00117A45">
        <w:t xml:space="preserve"> </w:t>
      </w:r>
      <w:r w:rsidR="00197ACF">
        <w:t>silicate</w:t>
      </w:r>
      <w:r w:rsidR="00DD17F5">
        <w:t>s</w:t>
      </w:r>
      <w:r w:rsidR="00197ACF">
        <w:t xml:space="preserve"> can contribute in </w:t>
      </w:r>
      <w:r w:rsidR="00235195">
        <w:t xml:space="preserve">cohesive bed packing and printability. </w:t>
      </w:r>
    </w:p>
    <w:sectPr w:rsidR="004B376A" w:rsidSect="00D95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MTE1NjUztzQ0sjQ3NTBS0lEKTi0uzszPAykwrAUAHrB6niwAAAA="/>
  </w:docVars>
  <w:rsids>
    <w:rsidRoot w:val="00F27EAB"/>
    <w:rsid w:val="00073293"/>
    <w:rsid w:val="00073DD0"/>
    <w:rsid w:val="000855A8"/>
    <w:rsid w:val="000F53FB"/>
    <w:rsid w:val="00117A45"/>
    <w:rsid w:val="001254D1"/>
    <w:rsid w:val="00171175"/>
    <w:rsid w:val="001719CD"/>
    <w:rsid w:val="00197ACF"/>
    <w:rsid w:val="001B1C03"/>
    <w:rsid w:val="001F5BC5"/>
    <w:rsid w:val="00235195"/>
    <w:rsid w:val="00264C0F"/>
    <w:rsid w:val="00281D1B"/>
    <w:rsid w:val="002A111E"/>
    <w:rsid w:val="002D4E5F"/>
    <w:rsid w:val="002E590D"/>
    <w:rsid w:val="00306C49"/>
    <w:rsid w:val="00412339"/>
    <w:rsid w:val="0042501A"/>
    <w:rsid w:val="004A2024"/>
    <w:rsid w:val="004B376A"/>
    <w:rsid w:val="005C19E4"/>
    <w:rsid w:val="00600D12"/>
    <w:rsid w:val="006375A9"/>
    <w:rsid w:val="0066339F"/>
    <w:rsid w:val="00683751"/>
    <w:rsid w:val="006C38CD"/>
    <w:rsid w:val="006C6FBC"/>
    <w:rsid w:val="006D77B9"/>
    <w:rsid w:val="006F4D49"/>
    <w:rsid w:val="00760E71"/>
    <w:rsid w:val="00766E96"/>
    <w:rsid w:val="008355FB"/>
    <w:rsid w:val="008E06B5"/>
    <w:rsid w:val="00905FFA"/>
    <w:rsid w:val="00964C5F"/>
    <w:rsid w:val="00976EFF"/>
    <w:rsid w:val="00977F87"/>
    <w:rsid w:val="009D2902"/>
    <w:rsid w:val="009E6723"/>
    <w:rsid w:val="00A61A3E"/>
    <w:rsid w:val="00A61C99"/>
    <w:rsid w:val="00AD3183"/>
    <w:rsid w:val="00B337E9"/>
    <w:rsid w:val="00B47FE3"/>
    <w:rsid w:val="00B85A9E"/>
    <w:rsid w:val="00BB7A42"/>
    <w:rsid w:val="00C93938"/>
    <w:rsid w:val="00CC667A"/>
    <w:rsid w:val="00D604C1"/>
    <w:rsid w:val="00D73A17"/>
    <w:rsid w:val="00D93E82"/>
    <w:rsid w:val="00D95B03"/>
    <w:rsid w:val="00DD17F5"/>
    <w:rsid w:val="00E94C2B"/>
    <w:rsid w:val="00EB289B"/>
    <w:rsid w:val="00EB4F04"/>
    <w:rsid w:val="00EE56DC"/>
    <w:rsid w:val="00F00649"/>
    <w:rsid w:val="00F234C0"/>
    <w:rsid w:val="00F27EAB"/>
    <w:rsid w:val="00FB2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4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6B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7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2339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28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btssb.uttaran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bikram@iisc.ac.in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478</Words>
  <Characters>2726</Characters>
  <Application>Microsoft Office Word</Application>
  <DocSecurity>0</DocSecurity>
  <Lines>22</Lines>
  <Paragraphs>6</Paragraphs>
  <ScaleCrop>false</ScaleCrop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Srimanta</dc:creator>
  <cp:lastModifiedBy>Srimanta</cp:lastModifiedBy>
  <cp:revision>50</cp:revision>
  <dcterms:created xsi:type="dcterms:W3CDTF">2020-06-28T15:24:00Z</dcterms:created>
  <dcterms:modified xsi:type="dcterms:W3CDTF">2020-10-04T16:44:00Z</dcterms:modified>
</cp:coreProperties>
</file>