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Pr="007B7DAA" w:rsidRDefault="007B7DAA" w:rsidP="00203F5B">
      <w:pPr>
        <w:pStyle w:val="Heading2"/>
        <w:spacing w:line="480" w:lineRule="auto"/>
        <w:jc w:val="center"/>
        <w:rPr>
          <w:rFonts w:ascii="Times New Roman" w:hAnsi="Times New Roman" w:cs="Times New Roman"/>
          <w:bCs w:val="0"/>
          <w:color w:val="000000" w:themeColor="text1"/>
          <w:sz w:val="28"/>
          <w:szCs w:val="28"/>
        </w:rPr>
      </w:pPr>
      <w:r w:rsidRPr="007B7DAA">
        <w:rPr>
          <w:rFonts w:ascii="Times New Roman" w:hAnsi="Times New Roman" w:cs="Times New Roman"/>
          <w:color w:val="000000" w:themeColor="text1"/>
          <w:sz w:val="28"/>
          <w:szCs w:val="28"/>
        </w:rPr>
        <w:t>SISCoV Study: Systemic inflammatory syndrome in COVID-19</w:t>
      </w:r>
      <w:r w:rsidRPr="007B7DAA">
        <w:rPr>
          <w:rFonts w:ascii="Times New Roman" w:hAnsi="Times New Roman" w:cs="Times New Roman"/>
          <w:b w:val="0"/>
          <w:bCs w:val="0"/>
          <w:color w:val="000000" w:themeColor="text1"/>
          <w:sz w:val="28"/>
          <w:szCs w:val="28"/>
        </w:rPr>
        <w:t xml:space="preserve"> –</w:t>
      </w:r>
      <w:r w:rsidRPr="007B7DAA">
        <w:rPr>
          <w:rFonts w:ascii="Times New Roman" w:hAnsi="Times New Roman" w:cs="Times New Roman"/>
          <w:bCs w:val="0"/>
          <w:color w:val="000000" w:themeColor="text1"/>
          <w:sz w:val="28"/>
          <w:szCs w:val="28"/>
        </w:rPr>
        <w:t>a Systematic review and meta-analysis of Multisystem inflammatory syndrome in children with SARS-CoV-2 infection</w:t>
      </w:r>
    </w:p>
    <w:p w:rsidR="007B7DAA" w:rsidRDefault="007B7DAA" w:rsidP="00203F5B">
      <w:pPr>
        <w:spacing w:line="480" w:lineRule="auto"/>
        <w:rPr>
          <w:rFonts w:ascii="Times New Roman" w:hAnsi="Times New Roman" w:cs="Times New Roman"/>
          <w:b/>
          <w:lang w:val="en-IN"/>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p>
    <w:p w:rsidR="007B7DAA" w:rsidRDefault="007B7DAA" w:rsidP="00203F5B">
      <w:pPr>
        <w:pStyle w:val="Heading2"/>
        <w:spacing w:line="48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SUPPLEMENTARY APPENDIX</w:t>
      </w: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7B7DAA" w:rsidRDefault="007B7DAA" w:rsidP="00203F5B">
      <w:pPr>
        <w:spacing w:line="480" w:lineRule="auto"/>
      </w:pPr>
    </w:p>
    <w:p w:rsidR="00203F5B" w:rsidRDefault="00203F5B" w:rsidP="00203F5B">
      <w:pPr>
        <w:spacing w:line="480" w:lineRule="auto"/>
      </w:pPr>
    </w:p>
    <w:p w:rsidR="00203F5B" w:rsidRDefault="00203F5B" w:rsidP="00203F5B">
      <w:pPr>
        <w:spacing w:line="480" w:lineRule="auto"/>
      </w:pPr>
    </w:p>
    <w:p w:rsidR="007B7DAA" w:rsidRDefault="007B7DAA" w:rsidP="00203F5B">
      <w:pPr>
        <w:spacing w:line="480" w:lineRule="auto"/>
      </w:pPr>
    </w:p>
    <w:p w:rsidR="002F431D" w:rsidRDefault="002F431D" w:rsidP="00203F5B">
      <w:pPr>
        <w:spacing w:line="480" w:lineRule="auto"/>
        <w:rPr>
          <w:rFonts w:ascii="Times New Roman" w:hAnsi="Times New Roman" w:cs="Times New Roman"/>
          <w:b/>
          <w:lang w:val="en-IN"/>
        </w:rPr>
      </w:pPr>
      <w:r>
        <w:rPr>
          <w:rFonts w:ascii="Times New Roman" w:hAnsi="Times New Roman" w:cs="Times New Roman"/>
          <w:b/>
          <w:lang w:val="en-IN"/>
        </w:rPr>
        <w:lastRenderedPageBreak/>
        <w:t>PRISMA Checklist</w:t>
      </w:r>
    </w:p>
    <w:tbl>
      <w:tblPr>
        <w:tblW w:w="5000" w:type="pct"/>
        <w:tblBorders>
          <w:top w:val="nil"/>
          <w:left w:val="nil"/>
          <w:bottom w:val="nil"/>
          <w:right w:val="nil"/>
        </w:tblBorders>
        <w:tblLook w:val="0000"/>
      </w:tblPr>
      <w:tblGrid>
        <w:gridCol w:w="1598"/>
        <w:gridCol w:w="439"/>
        <w:gridCol w:w="6334"/>
        <w:gridCol w:w="1205"/>
      </w:tblGrid>
      <w:tr w:rsidR="00203F5B" w:rsidRPr="004C1685" w:rsidTr="0083267E">
        <w:trPr>
          <w:trHeight w:val="663"/>
        </w:trPr>
        <w:tc>
          <w:tcPr>
            <w:tcW w:w="834"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203F5B" w:rsidRPr="004C1685" w:rsidRDefault="00203F5B" w:rsidP="0083267E">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229" w:type="pct"/>
            <w:tcBorders>
              <w:top w:val="double" w:sz="5" w:space="0" w:color="000000"/>
              <w:left w:val="single" w:sz="5" w:space="0" w:color="000000"/>
              <w:bottom w:val="double" w:sz="2" w:space="0" w:color="FFFFCC"/>
              <w:right w:val="single" w:sz="5" w:space="0" w:color="000000"/>
            </w:tcBorders>
            <w:shd w:val="clear" w:color="auto" w:fill="63639A"/>
            <w:vAlign w:val="center"/>
          </w:tcPr>
          <w:p w:rsidR="00203F5B" w:rsidRPr="005979B8" w:rsidRDefault="00203F5B" w:rsidP="0083267E">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3308"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203F5B" w:rsidRPr="004C1685" w:rsidRDefault="00203F5B" w:rsidP="0083267E">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629" w:type="pct"/>
            <w:tcBorders>
              <w:top w:val="double" w:sz="5" w:space="0" w:color="000000"/>
              <w:left w:val="single" w:sz="5" w:space="0" w:color="000000"/>
              <w:bottom w:val="double" w:sz="5" w:space="0" w:color="000000"/>
              <w:right w:val="single" w:sz="5" w:space="0" w:color="000000"/>
            </w:tcBorders>
            <w:shd w:val="clear" w:color="auto" w:fill="63639A"/>
            <w:vAlign w:val="center"/>
          </w:tcPr>
          <w:p w:rsidR="00203F5B" w:rsidRPr="004C1685" w:rsidRDefault="00203F5B" w:rsidP="0083267E">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TITLE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rPr>
                <w:rFonts w:ascii="Arial" w:hAnsi="Arial" w:cs="Arial"/>
                <w:color w:val="auto"/>
              </w:rPr>
            </w:pPr>
            <w:r>
              <w:rPr>
                <w:rFonts w:ascii="Arial" w:hAnsi="Arial" w:cs="Arial"/>
                <w:color w:val="auto"/>
              </w:rPr>
              <w:t xml:space="preserve">             5</w:t>
            </w:r>
          </w:p>
        </w:tc>
      </w:tr>
      <w:tr w:rsidR="00203F5B" w:rsidRPr="004C1685" w:rsidTr="0083267E">
        <w:trPr>
          <w:trHeight w:val="323"/>
        </w:trPr>
        <w:tc>
          <w:tcPr>
            <w:tcW w:w="834"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229" w:type="pct"/>
            <w:tcBorders>
              <w:top w:val="single" w:sz="5" w:space="0" w:color="000000"/>
              <w:left w:val="single" w:sz="5" w:space="0" w:color="000000"/>
              <w:bottom w:val="double" w:sz="2" w:space="0" w:color="FFFFCC"/>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1</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5</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ABSTRACT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jc w:val="right"/>
              <w:rPr>
                <w:rFonts w:ascii="Arial" w:hAnsi="Arial" w:cs="Arial"/>
                <w:color w:val="auto"/>
              </w:rPr>
            </w:pPr>
            <w:r>
              <w:rPr>
                <w:rFonts w:ascii="Arial" w:hAnsi="Arial" w:cs="Arial"/>
                <w:color w:val="auto"/>
              </w:rPr>
              <w:t>6</w:t>
            </w:r>
          </w:p>
        </w:tc>
      </w:tr>
      <w:tr w:rsidR="00203F5B" w:rsidRPr="004C1685" w:rsidTr="0083267E">
        <w:trPr>
          <w:trHeight w:val="810"/>
        </w:trPr>
        <w:tc>
          <w:tcPr>
            <w:tcW w:w="834"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229" w:type="pct"/>
            <w:tcBorders>
              <w:top w:val="single" w:sz="5" w:space="0" w:color="000000"/>
              <w:left w:val="single" w:sz="5" w:space="0" w:color="000000"/>
              <w:bottom w:val="double" w:sz="2" w:space="0" w:color="FFFFCC"/>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2</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6</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INTRODUCTION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jc w:val="right"/>
              <w:rPr>
                <w:rFonts w:ascii="Arial" w:hAnsi="Arial" w:cs="Arial"/>
                <w:color w:val="auto"/>
              </w:rPr>
            </w:pPr>
            <w:r>
              <w:rPr>
                <w:rFonts w:ascii="Arial" w:hAnsi="Arial" w:cs="Arial"/>
                <w:color w:val="auto"/>
              </w:rPr>
              <w:t>7</w:t>
            </w:r>
          </w:p>
        </w:tc>
      </w:tr>
      <w:tr w:rsidR="00203F5B" w:rsidRPr="004C1685" w:rsidTr="0083267E">
        <w:trPr>
          <w:trHeight w:val="333"/>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3</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7</w:t>
            </w:r>
          </w:p>
        </w:tc>
      </w:tr>
      <w:tr w:rsidR="00203F5B" w:rsidRPr="004C1685" w:rsidTr="0083267E">
        <w:trPr>
          <w:trHeight w:val="568"/>
        </w:trPr>
        <w:tc>
          <w:tcPr>
            <w:tcW w:w="834"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229" w:type="pct"/>
            <w:tcBorders>
              <w:top w:val="single" w:sz="5" w:space="0" w:color="000000"/>
              <w:left w:val="single" w:sz="5" w:space="0" w:color="000000"/>
              <w:bottom w:val="double" w:sz="2" w:space="0" w:color="FFFFCC"/>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4</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7</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METHODS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jc w:val="right"/>
              <w:rPr>
                <w:rFonts w:ascii="Arial" w:hAnsi="Arial" w:cs="Arial"/>
                <w:color w:val="auto"/>
              </w:rPr>
            </w:pPr>
            <w:r>
              <w:rPr>
                <w:rFonts w:ascii="Arial" w:hAnsi="Arial" w:cs="Arial"/>
                <w:color w:val="auto"/>
              </w:rPr>
              <w:t>9-13</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5</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9</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6</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10</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7</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9-10</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8</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9</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229" w:type="pct"/>
            <w:tcBorders>
              <w:top w:val="single" w:sz="5" w:space="0" w:color="000000"/>
              <w:left w:val="single" w:sz="5" w:space="0" w:color="000000"/>
              <w:bottom w:val="single" w:sz="5" w:space="0" w:color="000000"/>
              <w:right w:val="single" w:sz="5" w:space="0" w:color="000000"/>
            </w:tcBorders>
          </w:tcPr>
          <w:p w:rsidR="00203F5B" w:rsidRPr="00363B8D" w:rsidRDefault="00203F5B" w:rsidP="0083267E">
            <w:pPr>
              <w:pStyle w:val="Default"/>
              <w:spacing w:before="40" w:after="40"/>
              <w:jc w:val="right"/>
              <w:rPr>
                <w:rFonts w:ascii="Arial" w:hAnsi="Arial" w:cs="Arial"/>
                <w:sz w:val="20"/>
                <w:szCs w:val="20"/>
              </w:rPr>
            </w:pPr>
            <w:r w:rsidRPr="00363B8D">
              <w:rPr>
                <w:rFonts w:ascii="Arial" w:hAnsi="Arial" w:cs="Arial"/>
                <w:sz w:val="20"/>
                <w:szCs w:val="20"/>
              </w:rPr>
              <w:t>9</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10</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10</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11</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11</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11</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12</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11-12</w:t>
            </w:r>
          </w:p>
        </w:tc>
      </w:tr>
      <w:tr w:rsidR="00203F5B" w:rsidRPr="004C1685" w:rsidTr="0083267E">
        <w:trPr>
          <w:trHeight w:val="333"/>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13</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11</w:t>
            </w:r>
          </w:p>
        </w:tc>
      </w:tr>
      <w:tr w:rsidR="00203F5B" w:rsidRPr="004C1685" w:rsidTr="0083267E">
        <w:trPr>
          <w:trHeight w:val="580"/>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14</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12-13, Table 1</w:t>
            </w:r>
          </w:p>
        </w:tc>
      </w:tr>
      <w:tr w:rsidR="00203F5B" w:rsidRPr="004C1685" w:rsidTr="0083267E">
        <w:trPr>
          <w:trHeight w:val="580"/>
        </w:trPr>
        <w:tc>
          <w:tcPr>
            <w:tcW w:w="834" w:type="pct"/>
            <w:tcBorders>
              <w:top w:val="single" w:sz="5" w:space="0" w:color="000000"/>
              <w:left w:val="single" w:sz="5" w:space="0" w:color="000000"/>
              <w:bottom w:val="single" w:sz="5" w:space="0" w:color="000000"/>
              <w:right w:val="single" w:sz="5" w:space="0" w:color="000000"/>
            </w:tcBorders>
            <w:shd w:val="clear" w:color="auto" w:fill="63639A"/>
          </w:tcPr>
          <w:p w:rsidR="00203F5B" w:rsidRPr="00997960" w:rsidRDefault="00203F5B" w:rsidP="0083267E">
            <w:pPr>
              <w:pStyle w:val="Default"/>
              <w:spacing w:before="40" w:after="40"/>
              <w:rPr>
                <w:rFonts w:ascii="Arial" w:hAnsi="Arial" w:cs="Arial"/>
                <w:sz w:val="20"/>
                <w:szCs w:val="20"/>
              </w:rPr>
            </w:pPr>
            <w:r w:rsidRPr="00997960">
              <w:rPr>
                <w:rFonts w:ascii="Arial" w:hAnsi="Arial" w:cs="Arial"/>
                <w:sz w:val="20"/>
                <w:szCs w:val="20"/>
              </w:rPr>
              <w:t xml:space="preserve">Section/topic </w:t>
            </w:r>
          </w:p>
        </w:tc>
        <w:tc>
          <w:tcPr>
            <w:tcW w:w="229" w:type="pct"/>
            <w:tcBorders>
              <w:top w:val="single" w:sz="5" w:space="0" w:color="000000"/>
              <w:left w:val="single" w:sz="5" w:space="0" w:color="000000"/>
              <w:bottom w:val="single" w:sz="5" w:space="0" w:color="000000"/>
              <w:right w:val="single" w:sz="5" w:space="0" w:color="000000"/>
            </w:tcBorders>
            <w:shd w:val="clear" w:color="auto" w:fill="63639A"/>
          </w:tcPr>
          <w:p w:rsidR="00203F5B" w:rsidRPr="00997960" w:rsidRDefault="00203F5B" w:rsidP="0083267E">
            <w:pPr>
              <w:pStyle w:val="Default"/>
              <w:spacing w:before="40" w:after="40"/>
              <w:jc w:val="right"/>
              <w:rPr>
                <w:rFonts w:ascii="Arial" w:hAnsi="Arial" w:cs="Arial"/>
                <w:sz w:val="20"/>
                <w:szCs w:val="20"/>
              </w:rPr>
            </w:pPr>
            <w:r w:rsidRPr="00997960">
              <w:rPr>
                <w:rFonts w:ascii="Arial" w:hAnsi="Arial" w:cs="Arial"/>
                <w:sz w:val="20"/>
                <w:szCs w:val="20"/>
              </w:rPr>
              <w:t>#</w:t>
            </w:r>
          </w:p>
        </w:tc>
        <w:tc>
          <w:tcPr>
            <w:tcW w:w="3308" w:type="pct"/>
            <w:tcBorders>
              <w:top w:val="single" w:sz="5" w:space="0" w:color="000000"/>
              <w:left w:val="single" w:sz="5" w:space="0" w:color="000000"/>
              <w:bottom w:val="single" w:sz="5" w:space="0" w:color="000000"/>
              <w:right w:val="single" w:sz="5" w:space="0" w:color="000000"/>
            </w:tcBorders>
            <w:shd w:val="clear" w:color="auto" w:fill="63639A"/>
          </w:tcPr>
          <w:p w:rsidR="00203F5B" w:rsidRPr="00997960" w:rsidRDefault="00203F5B" w:rsidP="0083267E">
            <w:pPr>
              <w:pStyle w:val="Default"/>
              <w:spacing w:before="40" w:after="40"/>
              <w:rPr>
                <w:rFonts w:ascii="Arial" w:hAnsi="Arial" w:cs="Arial"/>
                <w:sz w:val="20"/>
                <w:szCs w:val="20"/>
              </w:rPr>
            </w:pPr>
            <w:r w:rsidRPr="00997960">
              <w:rPr>
                <w:rFonts w:ascii="Arial" w:hAnsi="Arial" w:cs="Arial"/>
                <w:sz w:val="20"/>
                <w:szCs w:val="20"/>
              </w:rPr>
              <w:t xml:space="preserve">Checklist item </w:t>
            </w:r>
          </w:p>
        </w:tc>
        <w:tc>
          <w:tcPr>
            <w:tcW w:w="629" w:type="pct"/>
            <w:tcBorders>
              <w:top w:val="single" w:sz="5" w:space="0" w:color="000000"/>
              <w:left w:val="single" w:sz="5" w:space="0" w:color="000000"/>
              <w:bottom w:val="single" w:sz="5" w:space="0" w:color="000000"/>
              <w:right w:val="single" w:sz="5" w:space="0" w:color="000000"/>
            </w:tcBorders>
            <w:shd w:val="clear" w:color="auto" w:fill="63639A"/>
          </w:tcPr>
          <w:p w:rsidR="00203F5B" w:rsidRPr="00997960" w:rsidRDefault="00203F5B" w:rsidP="0083267E">
            <w:pPr>
              <w:pStyle w:val="Default"/>
              <w:spacing w:before="40" w:after="40"/>
              <w:rPr>
                <w:rFonts w:ascii="Arial" w:hAnsi="Arial" w:cs="Arial"/>
                <w:color w:val="auto"/>
              </w:rPr>
            </w:pPr>
            <w:r w:rsidRPr="00997960">
              <w:rPr>
                <w:rFonts w:ascii="Arial" w:hAnsi="Arial" w:cs="Arial"/>
                <w:color w:val="auto"/>
              </w:rPr>
              <w:t xml:space="preserve">Reported on page # </w:t>
            </w:r>
          </w:p>
        </w:tc>
      </w:tr>
      <w:tr w:rsidR="00203F5B" w:rsidRPr="004C1685" w:rsidTr="0083267E">
        <w:trPr>
          <w:trHeight w:val="580"/>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15</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11</w:t>
            </w:r>
          </w:p>
        </w:tc>
      </w:tr>
      <w:tr w:rsidR="00203F5B" w:rsidRPr="004C1685" w:rsidTr="0083267E">
        <w:trPr>
          <w:trHeight w:val="580"/>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16</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sidRPr="00997960">
              <w:rPr>
                <w:rFonts w:ascii="Arial" w:hAnsi="Arial" w:cs="Arial"/>
                <w:sz w:val="20"/>
                <w:szCs w:val="20"/>
              </w:rPr>
              <w:t>-</w:t>
            </w:r>
            <w:r w:rsidRPr="004C1685">
              <w:rPr>
                <w:rFonts w:ascii="Arial" w:hAnsi="Arial" w:cs="Arial"/>
                <w:sz w:val="20"/>
                <w:szCs w:val="20"/>
              </w:rPr>
              <w:t xml:space="preserve">specified.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RESULTS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jc w:val="center"/>
              <w:rPr>
                <w:rFonts w:ascii="Arial" w:hAnsi="Arial" w:cs="Arial"/>
                <w:color w:val="auto"/>
              </w:rPr>
            </w:pPr>
            <w:r>
              <w:rPr>
                <w:rFonts w:ascii="Arial" w:hAnsi="Arial" w:cs="Arial"/>
                <w:color w:val="auto"/>
              </w:rPr>
              <w:t>13-17</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17</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 xml:space="preserve"> Figure 1</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18</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13-14</w:t>
            </w:r>
          </w:p>
        </w:tc>
      </w:tr>
      <w:tr w:rsidR="00203F5B" w:rsidRPr="004C1685" w:rsidTr="0083267E">
        <w:trPr>
          <w:trHeight w:val="333"/>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19</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Table 1</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20</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13-17, Figure 2,3</w:t>
            </w:r>
          </w:p>
        </w:tc>
      </w:tr>
      <w:tr w:rsidR="00203F5B" w:rsidRPr="004C1685" w:rsidTr="0083267E">
        <w:trPr>
          <w:trHeight w:val="335"/>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21</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Figure 2, 3</w:t>
            </w:r>
          </w:p>
        </w:tc>
      </w:tr>
      <w:tr w:rsidR="00203F5B" w:rsidRPr="004C1685" w:rsidTr="0083267E">
        <w:trPr>
          <w:trHeight w:val="333"/>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22</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Table 1</w:t>
            </w:r>
          </w:p>
        </w:tc>
      </w:tr>
      <w:tr w:rsidR="00203F5B" w:rsidRPr="004C1685" w:rsidTr="0083267E">
        <w:trPr>
          <w:trHeight w:val="393"/>
        </w:trPr>
        <w:tc>
          <w:tcPr>
            <w:tcW w:w="834"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229"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23</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w:t>
            </w:r>
          </w:p>
        </w:tc>
      </w:tr>
      <w:tr w:rsidR="00203F5B" w:rsidRPr="004C1685" w:rsidTr="0083267E">
        <w:trPr>
          <w:trHeight w:val="335"/>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DISCUSSION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jc w:val="center"/>
              <w:rPr>
                <w:rFonts w:ascii="Arial" w:hAnsi="Arial" w:cs="Arial"/>
                <w:color w:val="auto"/>
              </w:rPr>
            </w:pPr>
            <w:r>
              <w:rPr>
                <w:rFonts w:ascii="Arial" w:hAnsi="Arial" w:cs="Arial"/>
                <w:color w:val="auto"/>
              </w:rPr>
              <w:t>17-22</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24</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17-19</w:t>
            </w:r>
          </w:p>
        </w:tc>
      </w:tr>
      <w:tr w:rsidR="00203F5B" w:rsidRPr="004C1685" w:rsidTr="0083267E">
        <w:trPr>
          <w:trHeight w:val="578"/>
        </w:trPr>
        <w:tc>
          <w:tcPr>
            <w:tcW w:w="834"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2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25</w:t>
            </w:r>
          </w:p>
        </w:tc>
        <w:tc>
          <w:tcPr>
            <w:tcW w:w="3308"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629" w:type="pct"/>
            <w:tcBorders>
              <w:top w:val="single" w:sz="5" w:space="0" w:color="000000"/>
              <w:left w:val="single" w:sz="5" w:space="0" w:color="000000"/>
              <w:bottom w:val="sing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21</w:t>
            </w:r>
          </w:p>
        </w:tc>
      </w:tr>
      <w:tr w:rsidR="00203F5B" w:rsidRPr="004C1685" w:rsidTr="0083267E">
        <w:trPr>
          <w:trHeight w:val="420"/>
        </w:trPr>
        <w:tc>
          <w:tcPr>
            <w:tcW w:w="834"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229" w:type="pct"/>
            <w:tcBorders>
              <w:top w:val="single" w:sz="5" w:space="0" w:color="000000"/>
              <w:left w:val="single" w:sz="5" w:space="0" w:color="000000"/>
              <w:bottom w:val="double" w:sz="2" w:space="0" w:color="FFFFCC"/>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26</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22</w:t>
            </w:r>
          </w:p>
        </w:tc>
      </w:tr>
      <w:tr w:rsidR="00203F5B" w:rsidRPr="004C1685" w:rsidTr="0083267E">
        <w:trPr>
          <w:trHeight w:val="333"/>
        </w:trPr>
        <w:tc>
          <w:tcPr>
            <w:tcW w:w="4371" w:type="pct"/>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203F5B" w:rsidRPr="004C1685" w:rsidRDefault="00203F5B" w:rsidP="0083267E">
            <w:pPr>
              <w:pStyle w:val="Default"/>
              <w:rPr>
                <w:rFonts w:ascii="Arial" w:hAnsi="Arial" w:cs="Arial"/>
                <w:sz w:val="22"/>
                <w:szCs w:val="22"/>
              </w:rPr>
            </w:pPr>
            <w:r w:rsidRPr="004C1685">
              <w:rPr>
                <w:rFonts w:ascii="Arial" w:hAnsi="Arial" w:cs="Arial"/>
                <w:b/>
                <w:bCs/>
                <w:sz w:val="22"/>
                <w:szCs w:val="22"/>
              </w:rPr>
              <w:t xml:space="preserve">FUNDING </w:t>
            </w:r>
          </w:p>
        </w:tc>
        <w:tc>
          <w:tcPr>
            <w:tcW w:w="629" w:type="pct"/>
            <w:tcBorders>
              <w:top w:val="double" w:sz="5" w:space="0" w:color="000000"/>
              <w:left w:val="single" w:sz="5" w:space="0" w:color="000000"/>
              <w:bottom w:val="single" w:sz="5" w:space="0" w:color="000000"/>
              <w:right w:val="single" w:sz="5" w:space="0" w:color="000000"/>
            </w:tcBorders>
            <w:shd w:val="clear" w:color="auto" w:fill="FFFFCC"/>
          </w:tcPr>
          <w:p w:rsidR="00203F5B" w:rsidRPr="004C1685" w:rsidRDefault="00203F5B" w:rsidP="0083267E">
            <w:pPr>
              <w:pStyle w:val="Default"/>
              <w:rPr>
                <w:rFonts w:ascii="Arial" w:hAnsi="Arial" w:cs="Arial"/>
                <w:color w:val="auto"/>
              </w:rPr>
            </w:pPr>
            <w:r>
              <w:rPr>
                <w:rFonts w:ascii="Arial" w:hAnsi="Arial" w:cs="Arial"/>
                <w:color w:val="auto"/>
              </w:rPr>
              <w:t>N.A.</w:t>
            </w:r>
          </w:p>
        </w:tc>
      </w:tr>
      <w:tr w:rsidR="00203F5B" w:rsidRPr="004C1685" w:rsidTr="0083267E">
        <w:trPr>
          <w:trHeight w:val="570"/>
        </w:trPr>
        <w:tc>
          <w:tcPr>
            <w:tcW w:w="834"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2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jc w:val="right"/>
              <w:rPr>
                <w:rFonts w:ascii="Arial" w:hAnsi="Arial" w:cs="Arial"/>
                <w:sz w:val="20"/>
                <w:szCs w:val="20"/>
              </w:rPr>
            </w:pPr>
            <w:r w:rsidRPr="004C1685">
              <w:rPr>
                <w:rFonts w:ascii="Arial" w:hAnsi="Arial" w:cs="Arial"/>
                <w:sz w:val="20"/>
                <w:szCs w:val="20"/>
              </w:rPr>
              <w:t>27</w:t>
            </w:r>
          </w:p>
        </w:tc>
        <w:tc>
          <w:tcPr>
            <w:tcW w:w="3308"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629" w:type="pct"/>
            <w:tcBorders>
              <w:top w:val="single" w:sz="5" w:space="0" w:color="000000"/>
              <w:left w:val="single" w:sz="5" w:space="0" w:color="000000"/>
              <w:bottom w:val="double" w:sz="5" w:space="0" w:color="000000"/>
              <w:right w:val="single" w:sz="5" w:space="0" w:color="000000"/>
            </w:tcBorders>
          </w:tcPr>
          <w:p w:rsidR="00203F5B" w:rsidRPr="004C1685" w:rsidRDefault="00203F5B" w:rsidP="0083267E">
            <w:pPr>
              <w:pStyle w:val="Default"/>
              <w:spacing w:before="40" w:after="40"/>
              <w:rPr>
                <w:rFonts w:ascii="Arial" w:hAnsi="Arial" w:cs="Arial"/>
                <w:color w:val="auto"/>
              </w:rPr>
            </w:pPr>
            <w:r>
              <w:rPr>
                <w:rFonts w:ascii="Arial" w:hAnsi="Arial" w:cs="Arial"/>
                <w:color w:val="auto"/>
              </w:rPr>
              <w:t>N.A</w:t>
            </w:r>
          </w:p>
        </w:tc>
      </w:tr>
    </w:tbl>
    <w:p w:rsidR="00203F5B" w:rsidRDefault="00203F5B" w:rsidP="00203F5B">
      <w:pPr>
        <w:spacing w:line="480" w:lineRule="auto"/>
        <w:rPr>
          <w:rFonts w:ascii="Times New Roman" w:hAnsi="Times New Roman" w:cs="Times New Roman"/>
          <w:b/>
          <w:lang w:val="en-IN"/>
        </w:rPr>
      </w:pPr>
    </w:p>
    <w:p w:rsidR="003B3683" w:rsidRPr="004C1685" w:rsidRDefault="003B3683" w:rsidP="00203F5B">
      <w:pPr>
        <w:pStyle w:val="CM1"/>
        <w:spacing w:line="480" w:lineRule="auto"/>
        <w:jc w:val="center"/>
        <w:rPr>
          <w:rFonts w:ascii="Arial" w:hAnsi="Arial" w:cs="Arial"/>
          <w:sz w:val="8"/>
          <w:szCs w:val="8"/>
        </w:rPr>
      </w:pPr>
    </w:p>
    <w:p w:rsidR="003B3683" w:rsidRPr="004C1685" w:rsidRDefault="003B3683" w:rsidP="00203F5B">
      <w:pPr>
        <w:pStyle w:val="CM1"/>
        <w:spacing w:line="480" w:lineRule="auto"/>
        <w:jc w:val="center"/>
        <w:rPr>
          <w:rFonts w:ascii="Arial" w:hAnsi="Arial" w:cs="Arial"/>
          <w:sz w:val="16"/>
          <w:szCs w:val="16"/>
        </w:rPr>
      </w:pPr>
      <w:r w:rsidRPr="004C1685">
        <w:rPr>
          <w:rFonts w:ascii="Arial" w:hAnsi="Arial" w:cs="Arial"/>
          <w:sz w:val="16"/>
          <w:szCs w:val="16"/>
        </w:rPr>
        <w:t xml:space="preserve">Page 1 of 2 </w:t>
      </w:r>
    </w:p>
    <w:p w:rsidR="003B3683" w:rsidRPr="004C1685" w:rsidRDefault="003B3683" w:rsidP="00203F5B">
      <w:pPr>
        <w:pStyle w:val="Default"/>
        <w:spacing w:line="480" w:lineRule="auto"/>
        <w:rPr>
          <w:rFonts w:ascii="Arial" w:hAnsi="Arial" w:cs="Arial"/>
          <w:color w:val="auto"/>
        </w:rPr>
      </w:pPr>
    </w:p>
    <w:p w:rsidR="003B3683" w:rsidRPr="00363B8D" w:rsidRDefault="003B3683" w:rsidP="00203F5B">
      <w:pPr>
        <w:pStyle w:val="Default"/>
        <w:spacing w:line="480" w:lineRule="auto"/>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w:t>
      </w:r>
      <w:proofErr w:type="gramStart"/>
      <w:r w:rsidRPr="004C1685">
        <w:rPr>
          <w:rFonts w:ascii="Arial" w:hAnsi="Arial" w:cs="Arial"/>
          <w:color w:val="auto"/>
          <w:sz w:val="16"/>
          <w:szCs w:val="16"/>
        </w:rPr>
        <w:t>The</w:t>
      </w:r>
      <w:proofErr w:type="gramEnd"/>
      <w:r w:rsidRPr="004C1685">
        <w:rPr>
          <w:rFonts w:ascii="Arial" w:hAnsi="Arial" w:cs="Arial"/>
          <w:color w:val="auto"/>
          <w:sz w:val="16"/>
          <w:szCs w:val="16"/>
        </w:rPr>
        <w:t xml:space="preserve"> PRISMA Group (2009). </w:t>
      </w:r>
      <w:proofErr w:type="gramStart"/>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The PRISMA Statement.</w:t>
      </w:r>
      <w:proofErr w:type="gramEnd"/>
      <w:r w:rsidRPr="004C1685">
        <w:rPr>
          <w:rFonts w:ascii="Arial" w:hAnsi="Arial" w:cs="Arial"/>
          <w:color w:val="auto"/>
          <w:sz w:val="16"/>
          <w:szCs w:val="16"/>
        </w:rPr>
        <w:t xml:space="preserve"> </w:t>
      </w:r>
      <w:r>
        <w:rPr>
          <w:rFonts w:ascii="Arial" w:hAnsi="Arial" w:cs="Arial"/>
          <w:color w:val="auto"/>
          <w:sz w:val="16"/>
          <w:szCs w:val="16"/>
          <w:lang w:val="da-DK"/>
        </w:rPr>
        <w:t>PLoS Med 6(7</w:t>
      </w:r>
      <w:r w:rsidRPr="00363B8D">
        <w:rPr>
          <w:rFonts w:ascii="Arial" w:hAnsi="Arial" w:cs="Arial"/>
          <w:color w:val="auto"/>
          <w:sz w:val="16"/>
          <w:szCs w:val="16"/>
          <w:lang w:val="da-DK"/>
        </w:rPr>
        <w:t xml:space="preserve">): e1000097. doi:10.1371/journal.pmed1000097 </w:t>
      </w:r>
    </w:p>
    <w:p w:rsidR="003B3683" w:rsidRPr="00363B8D" w:rsidRDefault="003B3683" w:rsidP="00203F5B">
      <w:pPr>
        <w:pStyle w:val="CM1"/>
        <w:spacing w:after="130" w:line="480" w:lineRule="auto"/>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3B3683" w:rsidRPr="004C1685" w:rsidRDefault="003B3683" w:rsidP="00203F5B">
      <w:pPr>
        <w:pStyle w:val="Default"/>
        <w:spacing w:line="480" w:lineRule="auto"/>
        <w:jc w:val="center"/>
        <w:rPr>
          <w:rFonts w:ascii="Arial" w:hAnsi="Arial" w:cs="Arial"/>
        </w:rPr>
      </w:pPr>
      <w:r w:rsidRPr="004C1685">
        <w:rPr>
          <w:rFonts w:ascii="Arial" w:hAnsi="Arial" w:cs="Arial"/>
          <w:sz w:val="16"/>
          <w:szCs w:val="16"/>
        </w:rPr>
        <w:t xml:space="preserve">Page 2 of 2 </w:t>
      </w:r>
    </w:p>
    <w:p w:rsidR="007036ED" w:rsidRDefault="007036ED" w:rsidP="00203F5B">
      <w:pPr>
        <w:shd w:val="clear" w:color="auto" w:fill="FFFFFF"/>
        <w:spacing w:after="240" w:line="480" w:lineRule="auto"/>
        <w:rPr>
          <w:rFonts w:ascii="Times New Roman" w:eastAsia="Times New Roman" w:hAnsi="Times New Roman" w:cs="Times New Roman"/>
          <w:b/>
          <w:color w:val="000000" w:themeColor="text1"/>
        </w:rPr>
      </w:pPr>
    </w:p>
    <w:p w:rsidR="003B3683" w:rsidRDefault="003B3683" w:rsidP="00203F5B">
      <w:pPr>
        <w:shd w:val="clear" w:color="auto" w:fill="FFFFFF"/>
        <w:spacing w:after="240" w:line="480" w:lineRule="auto"/>
        <w:rPr>
          <w:rFonts w:ascii="Times New Roman" w:eastAsia="Times New Roman" w:hAnsi="Times New Roman" w:cs="Times New Roman"/>
          <w:b/>
          <w:color w:val="000000" w:themeColor="text1"/>
        </w:rPr>
      </w:pPr>
    </w:p>
    <w:p w:rsidR="003B3683" w:rsidRDefault="003B3683" w:rsidP="00203F5B">
      <w:pPr>
        <w:shd w:val="clear" w:color="auto" w:fill="FFFFFF"/>
        <w:spacing w:after="240" w:line="480" w:lineRule="auto"/>
        <w:rPr>
          <w:rFonts w:ascii="Times New Roman" w:eastAsia="Times New Roman" w:hAnsi="Times New Roman" w:cs="Times New Roman"/>
          <w:b/>
          <w:color w:val="000000" w:themeColor="text1"/>
        </w:rPr>
      </w:pPr>
    </w:p>
    <w:p w:rsidR="007036ED" w:rsidRDefault="007036ED" w:rsidP="00203F5B">
      <w:pPr>
        <w:shd w:val="clear" w:color="auto" w:fill="FFFFFF"/>
        <w:spacing w:after="240" w:line="480" w:lineRule="auto"/>
        <w:rPr>
          <w:rFonts w:ascii="Times New Roman" w:eastAsia="Times New Roman" w:hAnsi="Times New Roman" w:cs="Times New Roman"/>
          <w:b/>
          <w:color w:val="000000" w:themeColor="text1"/>
        </w:rPr>
      </w:pPr>
    </w:p>
    <w:p w:rsidR="00423E3A" w:rsidRDefault="00423E3A" w:rsidP="00203F5B">
      <w:pPr>
        <w:shd w:val="clear" w:color="auto" w:fill="FFFFFF"/>
        <w:spacing w:after="240" w:line="480"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Search </w:t>
      </w:r>
      <w:proofErr w:type="gramStart"/>
      <w:r>
        <w:rPr>
          <w:rFonts w:ascii="Times New Roman" w:eastAsia="Times New Roman" w:hAnsi="Times New Roman" w:cs="Times New Roman"/>
          <w:b/>
          <w:color w:val="000000" w:themeColor="text1"/>
        </w:rPr>
        <w:t>terms :</w:t>
      </w:r>
      <w:proofErr w:type="gramEnd"/>
    </w:p>
    <w:p w:rsidR="002F431D" w:rsidRPr="002F431D" w:rsidRDefault="002F431D" w:rsidP="00203F5B">
      <w:pPr>
        <w:shd w:val="clear" w:color="auto" w:fill="FFFFFF"/>
        <w:spacing w:after="240" w:line="480" w:lineRule="auto"/>
        <w:rPr>
          <w:rStyle w:val="Strong"/>
          <w:rFonts w:ascii="Times New Roman" w:hAnsi="Times New Roman" w:cs="Times New Roman"/>
          <w:b w:val="0"/>
          <w:color w:val="212121"/>
          <w:shd w:val="clear" w:color="auto" w:fill="F6F6F6"/>
        </w:rPr>
      </w:pPr>
      <w:proofErr w:type="gramStart"/>
      <w:r w:rsidRPr="002F431D">
        <w:rPr>
          <w:rStyle w:val="Strong"/>
          <w:rFonts w:ascii="Times New Roman" w:hAnsi="Times New Roman" w:cs="Times New Roman"/>
          <w:b w:val="0"/>
          <w:color w:val="212121"/>
          <w:shd w:val="clear" w:color="auto" w:fill="F6F6F6"/>
        </w:rPr>
        <w:t>Summary :</w:t>
      </w:r>
      <w:proofErr w:type="gramEnd"/>
    </w:p>
    <w:p w:rsidR="002F431D" w:rsidRDefault="002F431D" w:rsidP="00203F5B">
      <w:pPr>
        <w:shd w:val="clear" w:color="auto" w:fill="FFFFFF"/>
        <w:spacing w:after="240" w:line="480" w:lineRule="auto"/>
        <w:rPr>
          <w:rStyle w:val="Strong"/>
          <w:rFonts w:ascii="Times New Roman" w:hAnsi="Times New Roman" w:cs="Times New Roman"/>
          <w:b w:val="0"/>
          <w:color w:val="212121"/>
          <w:shd w:val="clear" w:color="auto" w:fill="F6F6F6"/>
        </w:rPr>
      </w:pPr>
      <w:r w:rsidRPr="002F431D">
        <w:rPr>
          <w:rStyle w:val="Strong"/>
          <w:rFonts w:ascii="Times New Roman" w:hAnsi="Times New Roman" w:cs="Times New Roman"/>
          <w:b w:val="0"/>
          <w:color w:val="212121"/>
          <w:shd w:val="clear" w:color="auto" w:fill="F6F6F6"/>
        </w:rPr>
        <w:t>(SARS-CoV2 OR SARSCoV2 OR COVID-19 OR COVID19 OR "COVID 19" OR nCoV OR "NOVEL CORONA VIRUS") AND (PMIS-TS OR "PMIS TS" OR PIMS OR PIMS-TS OR MIS-C OR MISC OR "MULTISYSTEM INFLAMMATORY DISORDER" OR "Paediatric multisystem inflammatory syndrome" OR "MULTISYSTEM INFLAMMATORY SYNDROME IN CHILDREN" OR KAWASAKI OR KD OR "KAWASAKI DISEASE"OR "KAWASAKI SHOCK SYNDROME")</w:t>
      </w:r>
    </w:p>
    <w:p w:rsidR="00CB556F" w:rsidRDefault="00CB556F" w:rsidP="00203F5B">
      <w:pPr>
        <w:shd w:val="clear" w:color="auto" w:fill="F6F6F6"/>
        <w:spacing w:after="0" w:line="480" w:lineRule="auto"/>
        <w:rPr>
          <w:rFonts w:ascii="Times New Roman" w:eastAsia="Times New Roman" w:hAnsi="Times New Roman" w:cs="Times New Roman"/>
          <w:color w:val="212121"/>
        </w:rPr>
      </w:pPr>
      <w:r>
        <w:rPr>
          <w:rFonts w:ascii="Times New Roman" w:eastAsia="Times New Roman" w:hAnsi="Times New Roman" w:cs="Times New Roman"/>
          <w:color w:val="212121"/>
        </w:rPr>
        <w:t>Detailed search:</w:t>
      </w:r>
    </w:p>
    <w:p w:rsidR="00CB556F" w:rsidRDefault="00CB556F" w:rsidP="00203F5B">
      <w:pPr>
        <w:shd w:val="clear" w:color="auto" w:fill="F6F6F6"/>
        <w:spacing w:after="0" w:line="480" w:lineRule="auto"/>
        <w:rPr>
          <w:rFonts w:ascii="Times New Roman" w:eastAsia="Times New Roman" w:hAnsi="Times New Roman" w:cs="Times New Roman"/>
          <w:color w:val="212121"/>
        </w:rPr>
      </w:pPr>
    </w:p>
    <w:p w:rsidR="002F431D" w:rsidRPr="002F431D" w:rsidRDefault="002F431D" w:rsidP="00203F5B">
      <w:pPr>
        <w:shd w:val="clear" w:color="auto" w:fill="F6F6F6"/>
        <w:spacing w:after="0" w:line="480" w:lineRule="auto"/>
        <w:rPr>
          <w:rFonts w:ascii="Times New Roman" w:eastAsia="Times New Roman" w:hAnsi="Times New Roman" w:cs="Times New Roman"/>
          <w:color w:val="212121"/>
        </w:rPr>
      </w:pPr>
      <w:r w:rsidRPr="002F431D">
        <w:rPr>
          <w:rFonts w:ascii="Times New Roman" w:eastAsia="Times New Roman" w:hAnsi="Times New Roman" w:cs="Times New Roman"/>
          <w:color w:val="212121"/>
        </w:rPr>
        <w:t xml:space="preserve">(((((("SARS-CoV2"[All Fields] OR "SARSCoV2"[All Fields]) OR ((((((("COVID 19"[All Fields] OR "covid 2019"[All Fields]) OR "severe acute respiratory syndrome coronavirus 2"[Supplementary Concept]) OR "severe acute respiratory syndrome coronavirus 2"[All Fields]) OR "2019 ncov"[All Fields]) OR "sars cov 2"[All Fields]) OR "2019ncov"[All Fields]) OR (("wuhan"[All Fields] AND ("coronavirus"[MeSH Terms] OR "coronavirus"[All Fields])) AND (2019/12/1:2019/12/31[Date - </w:t>
      </w:r>
      <w:r w:rsidRPr="002F431D">
        <w:rPr>
          <w:rFonts w:ascii="Times New Roman" w:eastAsia="Times New Roman" w:hAnsi="Times New Roman" w:cs="Times New Roman"/>
          <w:color w:val="212121"/>
        </w:rPr>
        <w:lastRenderedPageBreak/>
        <w:t>Publication] OR 2020/1/1:2020/12/31[Date - Publication])))) OR (("COVID 19"[Supplementary Concept] OR "COVID 19"[All Fields]) OR "covid19"[All Fields])) OR "COVID 19"[All Fields]) OR "nCoV"[All Fields]) OR "NOVEL CORONA VIRUS"[All Fields]) AND (((((((((((("pmis"[All Fields] AND "ts"[All Fields]) OR "PIMS"[All Fields]) OR (("pediatric multisystem inflammatory disease covid 19 related"[Supplementary Concept] OR "pediatric multisystem inflammatory disease covid 19 related"[All Fields]) OR "pims ts"[All Fields])) OR "MIS-C"[All Fields]) OR "MISC"[All Fields]) OR "MULTISYSTEM INFLAMMATORY DISORDER"[All Fields]) OR "Paediatric multisystem inflammatory syndrome"[All Fields]) OR "MULTISYSTEM INFLAMMATORY SYNDROME IN CHILDREN"[All Fields]) OR ("kawasaki"[All Fields] OR "kawasaki s"[All Fields])) OR "KD"[All Fields]) OR "KAWASAKI DISEASE"[All Fields]) OR "KAWASAKI SHOCK SYNDROME"[All Fields])</w:t>
      </w:r>
    </w:p>
    <w:p w:rsidR="002F431D" w:rsidRPr="002F431D" w:rsidRDefault="002F431D" w:rsidP="00203F5B">
      <w:pPr>
        <w:shd w:val="clear" w:color="auto" w:fill="FFFFFF"/>
        <w:spacing w:after="240" w:line="480" w:lineRule="auto"/>
        <w:rPr>
          <w:rFonts w:ascii="Times New Roman" w:hAnsi="Times New Roman" w:cs="Times New Roman"/>
          <w:b/>
          <w:color w:val="000000" w:themeColor="text1"/>
          <w:shd w:val="clear" w:color="auto" w:fill="FFFFFF"/>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343650" w:rsidRDefault="00343650" w:rsidP="00203F5B">
      <w:pPr>
        <w:spacing w:line="480" w:lineRule="auto"/>
        <w:rPr>
          <w:rFonts w:ascii="Times New Roman" w:hAnsi="Times New Roman" w:cs="Times New Roman"/>
          <w:b/>
          <w:color w:val="000000" w:themeColor="text1"/>
        </w:rPr>
      </w:pPr>
    </w:p>
    <w:p w:rsidR="00AE4BDC" w:rsidRPr="00AE4BDC" w:rsidRDefault="00226293" w:rsidP="00203F5B">
      <w:pPr>
        <w:spacing w:line="480" w:lineRule="auto"/>
        <w:rPr>
          <w:rFonts w:ascii="Times New Roman" w:hAnsi="Times New Roman" w:cs="Times New Roman"/>
          <w:b/>
          <w:color w:val="000000" w:themeColor="text1"/>
          <w:lang w:val="en-IN"/>
        </w:rPr>
      </w:pPr>
      <w:r>
        <w:rPr>
          <w:rFonts w:ascii="Times New Roman" w:hAnsi="Times New Roman" w:cs="Times New Roman"/>
          <w:b/>
          <w:color w:val="000000" w:themeColor="text1"/>
        </w:rPr>
        <w:t>Table S1</w:t>
      </w:r>
      <w:r w:rsidR="00AE4BDC" w:rsidRPr="00AE4BDC">
        <w:rPr>
          <w:rFonts w:ascii="Times New Roman" w:hAnsi="Times New Roman" w:cs="Times New Roman"/>
          <w:b/>
          <w:color w:val="000000" w:themeColor="text1"/>
        </w:rPr>
        <w:t>: Demographic, clinical profile, complications, management strategies and prognostic parameters obtained from data extraction from 11 included publications.</w:t>
      </w:r>
    </w:p>
    <w:p w:rsidR="00AE4BDC" w:rsidRPr="007E39E8" w:rsidRDefault="00AE4BDC" w:rsidP="00203F5B">
      <w:pPr>
        <w:spacing w:line="480" w:lineRule="auto"/>
        <w:rPr>
          <w:rFonts w:ascii="Times New Roman" w:hAnsi="Times New Roman" w:cs="Times New Roman"/>
          <w:color w:val="000000" w:themeColor="text1"/>
        </w:rPr>
      </w:pPr>
    </w:p>
    <w:tbl>
      <w:tblPr>
        <w:tblStyle w:val="TableGrid"/>
        <w:tblW w:w="0" w:type="auto"/>
        <w:tblLook w:val="04A0"/>
      </w:tblPr>
      <w:tblGrid>
        <w:gridCol w:w="4046"/>
        <w:gridCol w:w="1589"/>
        <w:gridCol w:w="2090"/>
        <w:gridCol w:w="1851"/>
      </w:tblGrid>
      <w:tr w:rsidR="00B12AB0" w:rsidRPr="007E39E8" w:rsidTr="00600A78">
        <w:tc>
          <w:tcPr>
            <w:tcW w:w="9576" w:type="dxa"/>
            <w:gridSpan w:val="4"/>
          </w:tcPr>
          <w:p w:rsidR="00B12AB0" w:rsidRPr="007E39E8" w:rsidRDefault="00B12AB0" w:rsidP="00203F5B">
            <w:pPr>
              <w:spacing w:line="480" w:lineRule="auto"/>
              <w:rPr>
                <w:rFonts w:ascii="Times New Roman" w:hAnsi="Times New Roman" w:cs="Times New Roman"/>
                <w:b/>
                <w:color w:val="000000" w:themeColor="text1"/>
              </w:rPr>
            </w:pPr>
            <w:r w:rsidRPr="007E39E8">
              <w:rPr>
                <w:rFonts w:ascii="Times New Roman" w:hAnsi="Times New Roman" w:cs="Times New Roman"/>
                <w:b/>
                <w:color w:val="000000" w:themeColor="text1"/>
              </w:rPr>
              <w:t>Demographic profile</w:t>
            </w:r>
          </w:p>
        </w:tc>
      </w:tr>
      <w:tr w:rsidR="00B12AB0" w:rsidRPr="007E39E8" w:rsidTr="00600A78">
        <w:tc>
          <w:tcPr>
            <w:tcW w:w="4046" w:type="dxa"/>
          </w:tcPr>
          <w:p w:rsidR="00B12AB0" w:rsidRPr="007E39E8" w:rsidRDefault="00B12AB0"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Parameter</w:t>
            </w:r>
          </w:p>
        </w:tc>
        <w:tc>
          <w:tcPr>
            <w:tcW w:w="1589" w:type="dxa"/>
          </w:tcPr>
          <w:p w:rsidR="00B12AB0" w:rsidRPr="007E39E8" w:rsidRDefault="00B12AB0"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Number of publications reporting the parameter</w:t>
            </w:r>
            <w:r w:rsidR="00D04438">
              <w:rPr>
                <w:rFonts w:ascii="Times New Roman" w:hAnsi="Times New Roman" w:cs="Times New Roman"/>
                <w:b/>
                <w:i/>
                <w:color w:val="000000" w:themeColor="text1"/>
              </w:rPr>
              <w:t xml:space="preserve"> (n=18)</w:t>
            </w:r>
          </w:p>
        </w:tc>
        <w:tc>
          <w:tcPr>
            <w:tcW w:w="2090" w:type="dxa"/>
          </w:tcPr>
          <w:p w:rsidR="00B12AB0" w:rsidRDefault="00B12AB0"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Results</w:t>
            </w:r>
          </w:p>
          <w:p w:rsidR="00D04438" w:rsidRPr="007E39E8" w:rsidRDefault="00D04438" w:rsidP="00203F5B">
            <w:pPr>
              <w:spacing w:line="480" w:lineRule="auto"/>
              <w:rPr>
                <w:rFonts w:ascii="Times New Roman" w:hAnsi="Times New Roman" w:cs="Times New Roman"/>
                <w:b/>
                <w:i/>
                <w:color w:val="000000" w:themeColor="text1"/>
              </w:rPr>
            </w:pPr>
            <w:r>
              <w:rPr>
                <w:rFonts w:ascii="Times New Roman" w:hAnsi="Times New Roman" w:cs="Times New Roman"/>
                <w:b/>
                <w:i/>
                <w:color w:val="000000" w:themeColor="text1"/>
              </w:rPr>
              <w:t>(Total number of patients, n=833)</w:t>
            </w:r>
          </w:p>
        </w:tc>
        <w:tc>
          <w:tcPr>
            <w:tcW w:w="1851" w:type="dxa"/>
          </w:tcPr>
          <w:p w:rsidR="00B12AB0" w:rsidRPr="007E39E8" w:rsidRDefault="00B12AB0"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Comments</w:t>
            </w:r>
          </w:p>
        </w:tc>
      </w:tr>
      <w:tr w:rsidR="00B12AB0" w:rsidRPr="007E39E8" w:rsidTr="00600A78">
        <w:trPr>
          <w:trHeight w:val="538"/>
        </w:trPr>
        <w:tc>
          <w:tcPr>
            <w:tcW w:w="4046" w:type="dxa"/>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xml:space="preserve">  Sex distribution</w:t>
            </w:r>
          </w:p>
        </w:tc>
        <w:tc>
          <w:tcPr>
            <w:tcW w:w="1589" w:type="dxa"/>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1</w:t>
            </w:r>
            <w:r w:rsidR="00D04438">
              <w:rPr>
                <w:rFonts w:ascii="Times New Roman" w:hAnsi="Times New Roman" w:cs="Times New Roman"/>
                <w:color w:val="000000" w:themeColor="text1"/>
              </w:rPr>
              <w:t>8</w:t>
            </w:r>
          </w:p>
        </w:tc>
        <w:tc>
          <w:tcPr>
            <w:tcW w:w="2090" w:type="dxa"/>
          </w:tcPr>
          <w:p w:rsidR="00D04438" w:rsidRDefault="00D04438"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Male 472 </w:t>
            </w:r>
          </w:p>
          <w:p w:rsidR="00B12AB0"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Female</w:t>
            </w:r>
            <w:r w:rsidR="00D04438">
              <w:rPr>
                <w:rFonts w:ascii="Times New Roman" w:hAnsi="Times New Roman" w:cs="Times New Roman"/>
                <w:color w:val="000000" w:themeColor="text1"/>
              </w:rPr>
              <w:t xml:space="preserve"> 361</w:t>
            </w:r>
          </w:p>
          <w:p w:rsidR="00D04438" w:rsidRPr="007E39E8" w:rsidRDefault="00D04438" w:rsidP="00203F5B">
            <w:pPr>
              <w:spacing w:line="480" w:lineRule="auto"/>
              <w:rPr>
                <w:rFonts w:ascii="Times New Roman" w:hAnsi="Times New Roman" w:cs="Times New Roman"/>
                <w:color w:val="000000" w:themeColor="text1"/>
              </w:rPr>
            </w:pPr>
          </w:p>
        </w:tc>
        <w:tc>
          <w:tcPr>
            <w:tcW w:w="1851" w:type="dxa"/>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Sex ratio : 1.</w:t>
            </w:r>
            <w:r w:rsidR="00D04438">
              <w:rPr>
                <w:rFonts w:ascii="Times New Roman" w:hAnsi="Times New Roman" w:cs="Times New Roman"/>
                <w:color w:val="000000" w:themeColor="text1"/>
              </w:rPr>
              <w:t>31</w:t>
            </w:r>
          </w:p>
        </w:tc>
      </w:tr>
      <w:tr w:rsidR="00B12AB0" w:rsidRPr="007E39E8" w:rsidTr="00600A78">
        <w:tc>
          <w:tcPr>
            <w:tcW w:w="9576" w:type="dxa"/>
            <w:gridSpan w:val="4"/>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xml:space="preserve">  Race</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Black</w:t>
            </w:r>
            <w:r w:rsidR="00377E6E">
              <w:rPr>
                <w:rFonts w:ascii="Times New Roman" w:hAnsi="Times New Roman" w:cs="Times New Roman"/>
                <w:color w:val="000000" w:themeColor="text1"/>
              </w:rPr>
              <w:t xml:space="preserve"> including Afro-Carribeans</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11</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198/579</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34</w:t>
            </w:r>
            <w:r w:rsidR="00B12AB0" w:rsidRPr="007E39E8">
              <w:rPr>
                <w:rFonts w:ascii="Times New Roman" w:hAnsi="Times New Roman" w:cs="Times New Roman"/>
                <w:color w:val="000000" w:themeColor="text1"/>
              </w:rPr>
              <w:t>.2%</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White</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9</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115/530</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21.7%</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Hispanic</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5</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106/311</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34.1%</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Asians</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9</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58/349</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16.6%</w:t>
            </w:r>
          </w:p>
        </w:tc>
      </w:tr>
      <w:tr w:rsidR="00B12AB0" w:rsidRPr="007E39E8" w:rsidTr="00600A78">
        <w:tc>
          <w:tcPr>
            <w:tcW w:w="9576" w:type="dxa"/>
            <w:gridSpan w:val="4"/>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Comorbidity</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Overweight/obesity</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7</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116/405</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28.6%</w:t>
            </w:r>
          </w:p>
        </w:tc>
      </w:tr>
      <w:tr w:rsidR="00B12AB0" w:rsidRPr="007E39E8" w:rsidTr="00600A78">
        <w:tc>
          <w:tcPr>
            <w:tcW w:w="4046" w:type="dxa"/>
          </w:tcPr>
          <w:p w:rsidR="00B12AB0" w:rsidRPr="007E39E8" w:rsidRDefault="00377E6E" w:rsidP="00203F5B">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Chronic lung disease</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4</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27/181</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14.9%</w:t>
            </w:r>
          </w:p>
        </w:tc>
      </w:tr>
      <w:tr w:rsidR="00B12AB0" w:rsidRPr="007E39E8" w:rsidTr="00600A78">
        <w:tc>
          <w:tcPr>
            <w:tcW w:w="9576" w:type="dxa"/>
            <w:gridSpan w:val="4"/>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Clinical presentat</w:t>
            </w:r>
            <w:r w:rsidR="00EA0B59">
              <w:rPr>
                <w:rFonts w:ascii="Times New Roman" w:hAnsi="Times New Roman" w:cs="Times New Roman"/>
                <w:color w:val="000000" w:themeColor="text1"/>
              </w:rPr>
              <w:t>ions ( In addition to Kawasaki</w:t>
            </w:r>
            <w:r w:rsidRPr="007E39E8">
              <w:rPr>
                <w:rFonts w:ascii="Times New Roman" w:hAnsi="Times New Roman" w:cs="Times New Roman"/>
                <w:color w:val="000000" w:themeColor="text1"/>
              </w:rPr>
              <w:t xml:space="preserve"> phenotype) and complications</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GI features</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16</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603/715</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84.3%</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Neurological symptoms</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13</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138/602</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22.9%</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Myocarditis</w:t>
            </w:r>
            <w:r w:rsidRPr="007E39E8">
              <w:rPr>
                <w:rFonts w:ascii="Times New Roman" w:hAnsi="Times New Roman" w:cs="Times New Roman"/>
                <w:color w:val="000000" w:themeColor="text1"/>
                <w:vertAlign w:val="superscript"/>
              </w:rPr>
              <w:t>%</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6</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191/309</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61.8%</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xml:space="preserve">Pericardial involvement </w:t>
            </w:r>
            <w:r w:rsidRPr="007E39E8">
              <w:rPr>
                <w:rFonts w:ascii="Times New Roman" w:hAnsi="Times New Roman" w:cs="Times New Roman"/>
                <w:color w:val="000000" w:themeColor="text1"/>
                <w:vertAlign w:val="superscript"/>
              </w:rPr>
              <w:t>*</w:t>
            </w:r>
          </w:p>
        </w:tc>
        <w:tc>
          <w:tcPr>
            <w:tcW w:w="1589"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10</w:t>
            </w:r>
          </w:p>
        </w:tc>
        <w:tc>
          <w:tcPr>
            <w:tcW w:w="2090"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135/436</w:t>
            </w:r>
          </w:p>
        </w:tc>
        <w:tc>
          <w:tcPr>
            <w:tcW w:w="1851" w:type="dxa"/>
          </w:tcPr>
          <w:p w:rsidR="00B12AB0" w:rsidRPr="007E39E8" w:rsidRDefault="00377E6E"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31.0%</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Left Ventricular Ejection fraction (&lt;50%)</w:t>
            </w:r>
            <w:r w:rsidRPr="007E39E8">
              <w:rPr>
                <w:rFonts w:ascii="Times New Roman" w:hAnsi="Times New Roman" w:cs="Times New Roman"/>
                <w:color w:val="000000" w:themeColor="text1"/>
                <w:vertAlign w:val="superscript"/>
              </w:rPr>
              <w:t>a</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8</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190/422</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45.0%</w:t>
            </w:r>
          </w:p>
        </w:tc>
      </w:tr>
      <w:tr w:rsidR="00AD74C8" w:rsidRPr="007E39E8" w:rsidTr="00600A78">
        <w:tc>
          <w:tcPr>
            <w:tcW w:w="4046" w:type="dxa"/>
          </w:tcPr>
          <w:p w:rsidR="00AD74C8" w:rsidRPr="007E39E8" w:rsidRDefault="00AD74C8" w:rsidP="00203F5B">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Acute Kidney injury</w:t>
            </w:r>
          </w:p>
        </w:tc>
        <w:tc>
          <w:tcPr>
            <w:tcW w:w="1589" w:type="dxa"/>
          </w:tcPr>
          <w:p w:rsidR="00AD74C8"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w:t>
            </w:r>
          </w:p>
        </w:tc>
        <w:tc>
          <w:tcPr>
            <w:tcW w:w="2090" w:type="dxa"/>
          </w:tcPr>
          <w:p w:rsidR="00AD74C8"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40/176</w:t>
            </w:r>
          </w:p>
        </w:tc>
        <w:tc>
          <w:tcPr>
            <w:tcW w:w="1851" w:type="dxa"/>
          </w:tcPr>
          <w:p w:rsidR="00AD74C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22.7%</w:t>
            </w:r>
          </w:p>
        </w:tc>
      </w:tr>
      <w:tr w:rsidR="00B42239" w:rsidRPr="007E39E8" w:rsidTr="00600A78">
        <w:tc>
          <w:tcPr>
            <w:tcW w:w="4046" w:type="dxa"/>
          </w:tcPr>
          <w:p w:rsidR="00B42239" w:rsidRPr="007E39E8" w:rsidRDefault="00B42239" w:rsidP="00203F5B">
            <w:pPr>
              <w:pStyle w:val="ListParagraph"/>
              <w:numPr>
                <w:ilvl w:val="0"/>
                <w:numId w:val="1"/>
              </w:numPr>
              <w:spacing w:line="480" w:lineRule="auto"/>
              <w:rPr>
                <w:rFonts w:ascii="Times New Roman" w:hAnsi="Times New Roman" w:cs="Times New Roman"/>
                <w:color w:val="000000" w:themeColor="text1"/>
              </w:rPr>
            </w:pPr>
            <w:r>
              <w:rPr>
                <w:rFonts w:ascii="Times New Roman" w:hAnsi="Times New Roman" w:cs="Times New Roman"/>
                <w:color w:val="000000" w:themeColor="text1"/>
              </w:rPr>
              <w:t>Vasopressor support</w:t>
            </w:r>
          </w:p>
        </w:tc>
        <w:tc>
          <w:tcPr>
            <w:tcW w:w="1589" w:type="dxa"/>
          </w:tcPr>
          <w:p w:rsidR="00B42239"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16</w:t>
            </w:r>
          </w:p>
        </w:tc>
        <w:tc>
          <w:tcPr>
            <w:tcW w:w="2090" w:type="dxa"/>
          </w:tcPr>
          <w:p w:rsidR="00B42239"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458/783</w:t>
            </w:r>
          </w:p>
        </w:tc>
        <w:tc>
          <w:tcPr>
            <w:tcW w:w="1851" w:type="dxa"/>
          </w:tcPr>
          <w:p w:rsidR="00B42239"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58.5%</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Coronary artery abnormality</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16</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117/681</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17.2%</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Invasive ventilator support</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15</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226/813</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27.8%</w:t>
            </w:r>
          </w:p>
        </w:tc>
      </w:tr>
      <w:tr w:rsidR="00B12AB0" w:rsidRPr="007E39E8" w:rsidTr="00600A78">
        <w:tc>
          <w:tcPr>
            <w:tcW w:w="9576" w:type="dxa"/>
            <w:gridSpan w:val="4"/>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SARS-CoV-2 status and diagnosis</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rtPCR from nasopharyngeal/oropharyngeal/tracheal aspirate</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18</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291/800</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36.4%</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Serological evidence ( IgG, IgM, IgA against SARS-CoV-2)</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18</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495/752</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65.8%</w:t>
            </w:r>
          </w:p>
        </w:tc>
      </w:tr>
      <w:tr w:rsidR="00B12AB0" w:rsidRPr="007E39E8" w:rsidTr="00600A78">
        <w:tc>
          <w:tcPr>
            <w:tcW w:w="4046" w:type="dxa"/>
          </w:tcPr>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Management strategies</w:t>
            </w:r>
          </w:p>
        </w:tc>
        <w:tc>
          <w:tcPr>
            <w:tcW w:w="1589" w:type="dxa"/>
          </w:tcPr>
          <w:p w:rsidR="00B12AB0" w:rsidRPr="007E39E8" w:rsidRDefault="00B12AB0" w:rsidP="00203F5B">
            <w:pPr>
              <w:spacing w:line="480" w:lineRule="auto"/>
              <w:rPr>
                <w:rFonts w:ascii="Times New Roman" w:hAnsi="Times New Roman" w:cs="Times New Roman"/>
                <w:color w:val="000000" w:themeColor="text1"/>
              </w:rPr>
            </w:pPr>
          </w:p>
        </w:tc>
        <w:tc>
          <w:tcPr>
            <w:tcW w:w="2090" w:type="dxa"/>
          </w:tcPr>
          <w:p w:rsidR="00B12AB0" w:rsidRPr="007E39E8" w:rsidRDefault="00B12AB0" w:rsidP="00203F5B">
            <w:pPr>
              <w:spacing w:line="480" w:lineRule="auto"/>
              <w:rPr>
                <w:rFonts w:ascii="Times New Roman" w:hAnsi="Times New Roman" w:cs="Times New Roman"/>
                <w:color w:val="000000" w:themeColor="text1"/>
              </w:rPr>
            </w:pPr>
          </w:p>
        </w:tc>
        <w:tc>
          <w:tcPr>
            <w:tcW w:w="1851" w:type="dxa"/>
          </w:tcPr>
          <w:p w:rsidR="00B12AB0" w:rsidRPr="007E39E8" w:rsidRDefault="00B12AB0" w:rsidP="00203F5B">
            <w:pPr>
              <w:spacing w:line="480" w:lineRule="auto"/>
              <w:rPr>
                <w:rFonts w:ascii="Times New Roman" w:hAnsi="Times New Roman" w:cs="Times New Roman"/>
                <w:color w:val="000000" w:themeColor="text1"/>
              </w:rPr>
            </w:pP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IVIg retreatment</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5</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66/266</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24.8%</w:t>
            </w:r>
          </w:p>
        </w:tc>
      </w:tr>
      <w:tr w:rsidR="00B12AB0" w:rsidRPr="007E39E8" w:rsidTr="00600A78">
        <w:tc>
          <w:tcPr>
            <w:tcW w:w="4046" w:type="dxa"/>
          </w:tcPr>
          <w:p w:rsidR="00B12AB0" w:rsidRPr="007E39E8" w:rsidRDefault="00B12AB0" w:rsidP="00203F5B">
            <w:pPr>
              <w:pStyle w:val="ListParagraph"/>
              <w:numPr>
                <w:ilvl w:val="0"/>
                <w:numId w:val="1"/>
              </w:num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Immunomodulator</w:t>
            </w:r>
            <w:r w:rsidRPr="007E39E8">
              <w:rPr>
                <w:rFonts w:ascii="Times New Roman" w:hAnsi="Times New Roman" w:cs="Times New Roman"/>
                <w:color w:val="000000" w:themeColor="text1"/>
                <w:vertAlign w:val="superscript"/>
              </w:rPr>
              <w:t>#</w:t>
            </w:r>
          </w:p>
        </w:tc>
        <w:tc>
          <w:tcPr>
            <w:tcW w:w="1589" w:type="dxa"/>
          </w:tcPr>
          <w:p w:rsidR="00B12AB0" w:rsidRPr="007E39E8" w:rsidRDefault="00B2445A"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12</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84/577</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14.6%</w:t>
            </w:r>
          </w:p>
        </w:tc>
      </w:tr>
      <w:tr w:rsidR="00B12AB0" w:rsidRPr="007E39E8" w:rsidTr="00600A78">
        <w:tc>
          <w:tcPr>
            <w:tcW w:w="4046"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Death</w:t>
            </w:r>
          </w:p>
        </w:tc>
        <w:tc>
          <w:tcPr>
            <w:tcW w:w="1589"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8</w:t>
            </w:r>
          </w:p>
        </w:tc>
        <w:tc>
          <w:tcPr>
            <w:tcW w:w="2090"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13/833</w:t>
            </w:r>
          </w:p>
        </w:tc>
        <w:tc>
          <w:tcPr>
            <w:tcW w:w="1851" w:type="dxa"/>
          </w:tcPr>
          <w:p w:rsidR="00B12AB0" w:rsidRPr="007E39E8" w:rsidRDefault="000A3E59"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1.6%</w:t>
            </w:r>
          </w:p>
        </w:tc>
      </w:tr>
    </w:tbl>
    <w:p w:rsidR="00B12AB0" w:rsidRPr="007E39E8" w:rsidRDefault="00B12AB0" w:rsidP="00203F5B">
      <w:pPr>
        <w:spacing w:line="480" w:lineRule="auto"/>
        <w:rPr>
          <w:rFonts w:ascii="Times New Roman" w:hAnsi="Times New Roman" w:cs="Times New Roman"/>
          <w:color w:val="000000" w:themeColor="text1"/>
        </w:rPr>
      </w:pPr>
    </w:p>
    <w:p w:rsidR="00B12AB0" w:rsidRPr="007E39E8" w:rsidRDefault="00D74984"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 Includes asymptomatic, </w:t>
      </w:r>
      <w:r w:rsidR="00B12AB0" w:rsidRPr="007E39E8">
        <w:rPr>
          <w:rFonts w:ascii="Times New Roman" w:hAnsi="Times New Roman" w:cs="Times New Roman"/>
          <w:color w:val="000000" w:themeColor="text1"/>
        </w:rPr>
        <w:t>echocardiographic pericardial effusion and pericarditis. Denominator is 97 since it only includes articles where echocardiography was done.</w:t>
      </w:r>
    </w:p>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xml:space="preserve">% </w:t>
      </w:r>
      <w:proofErr w:type="gramStart"/>
      <w:r w:rsidRPr="007E39E8">
        <w:rPr>
          <w:rFonts w:ascii="Times New Roman" w:hAnsi="Times New Roman" w:cs="Times New Roman"/>
          <w:color w:val="000000" w:themeColor="text1"/>
        </w:rPr>
        <w:t>Includes</w:t>
      </w:r>
      <w:proofErr w:type="gramEnd"/>
      <w:r w:rsidRPr="007E39E8">
        <w:rPr>
          <w:rFonts w:ascii="Times New Roman" w:hAnsi="Times New Roman" w:cs="Times New Roman"/>
          <w:color w:val="000000" w:themeColor="text1"/>
        </w:rPr>
        <w:t xml:space="preserve"> articles with clear mention of myocarditis. One of the publications was retrospective observational study in patients with acute myocarditis (n=20)</w:t>
      </w:r>
    </w:p>
    <w:p w:rsidR="00B12AB0" w:rsidRPr="007E39E8" w:rsidRDefault="00B12AB0" w:rsidP="00203F5B">
      <w:pPr>
        <w:spacing w:line="480" w:lineRule="auto"/>
        <w:rPr>
          <w:rFonts w:ascii="Times New Roman" w:hAnsi="Times New Roman" w:cs="Times New Roman"/>
          <w:color w:val="000000" w:themeColor="text1"/>
        </w:rPr>
      </w:pPr>
      <w:proofErr w:type="gramStart"/>
      <w:r w:rsidRPr="007E39E8">
        <w:rPr>
          <w:rFonts w:ascii="Times New Roman" w:hAnsi="Times New Roman" w:cs="Times New Roman"/>
          <w:color w:val="000000" w:themeColor="text1"/>
        </w:rPr>
        <w:lastRenderedPageBreak/>
        <w:t>a :</w:t>
      </w:r>
      <w:proofErr w:type="gramEnd"/>
      <w:r w:rsidRPr="007E39E8">
        <w:rPr>
          <w:rFonts w:ascii="Times New Roman" w:hAnsi="Times New Roman" w:cs="Times New Roman"/>
          <w:color w:val="000000" w:themeColor="text1"/>
        </w:rPr>
        <w:t xml:space="preserve"> Includes articles where echocardiography was done and data done number of subjects with LVEF&lt;50% was available</w:t>
      </w:r>
    </w:p>
    <w:p w:rsidR="00B12AB0" w:rsidRPr="007E39E8" w:rsidRDefault="00B12AB0"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Immunomodulators used commonly included Anakinra, Tocilizumab</w:t>
      </w:r>
    </w:p>
    <w:tbl>
      <w:tblPr>
        <w:tblW w:w="4480" w:type="dxa"/>
        <w:tblInd w:w="89" w:type="dxa"/>
        <w:tblLook w:val="04A0"/>
      </w:tblPr>
      <w:tblGrid>
        <w:gridCol w:w="800"/>
        <w:gridCol w:w="720"/>
        <w:gridCol w:w="1000"/>
        <w:gridCol w:w="1000"/>
        <w:gridCol w:w="960"/>
      </w:tblGrid>
      <w:tr w:rsidR="00B12AB0" w:rsidRPr="007E39E8" w:rsidTr="00600A78">
        <w:trPr>
          <w:trHeight w:val="300"/>
        </w:trPr>
        <w:tc>
          <w:tcPr>
            <w:tcW w:w="800" w:type="dxa"/>
            <w:tcBorders>
              <w:top w:val="nil"/>
              <w:left w:val="nil"/>
              <w:bottom w:val="nil"/>
              <w:right w:val="nil"/>
            </w:tcBorders>
            <w:shd w:val="clear" w:color="auto" w:fill="auto"/>
            <w:noWrap/>
            <w:vAlign w:val="bottom"/>
            <w:hideMark/>
          </w:tcPr>
          <w:p w:rsidR="00B12AB0" w:rsidRPr="007E39E8" w:rsidRDefault="00B12AB0" w:rsidP="00203F5B">
            <w:pPr>
              <w:spacing w:after="0" w:line="480" w:lineRule="auto"/>
              <w:jc w:val="right"/>
              <w:rPr>
                <w:rFonts w:ascii="Times New Roman" w:eastAsia="Times New Roman" w:hAnsi="Times New Roman" w:cs="Times New Roman"/>
                <w:color w:val="000000" w:themeColor="text1"/>
              </w:rPr>
            </w:pPr>
          </w:p>
        </w:tc>
        <w:tc>
          <w:tcPr>
            <w:tcW w:w="720" w:type="dxa"/>
            <w:tcBorders>
              <w:top w:val="nil"/>
              <w:left w:val="nil"/>
              <w:bottom w:val="nil"/>
              <w:right w:val="nil"/>
            </w:tcBorders>
            <w:shd w:val="clear" w:color="auto" w:fill="auto"/>
            <w:noWrap/>
            <w:vAlign w:val="bottom"/>
            <w:hideMark/>
          </w:tcPr>
          <w:p w:rsidR="00B12AB0" w:rsidRPr="007E39E8" w:rsidRDefault="00B12AB0" w:rsidP="00203F5B">
            <w:pPr>
              <w:spacing w:after="0" w:line="480" w:lineRule="auto"/>
              <w:jc w:val="right"/>
              <w:rPr>
                <w:rFonts w:ascii="Times New Roman" w:eastAsia="Times New Roman" w:hAnsi="Times New Roman" w:cs="Times New Roman"/>
                <w:color w:val="000000" w:themeColor="text1"/>
              </w:rPr>
            </w:pPr>
          </w:p>
        </w:tc>
        <w:tc>
          <w:tcPr>
            <w:tcW w:w="1000" w:type="dxa"/>
            <w:tcBorders>
              <w:top w:val="nil"/>
              <w:left w:val="nil"/>
              <w:bottom w:val="nil"/>
              <w:right w:val="nil"/>
            </w:tcBorders>
            <w:shd w:val="clear" w:color="auto" w:fill="auto"/>
            <w:noWrap/>
            <w:vAlign w:val="bottom"/>
            <w:hideMark/>
          </w:tcPr>
          <w:p w:rsidR="00B12AB0" w:rsidRPr="007E39E8" w:rsidRDefault="00B12AB0" w:rsidP="00203F5B">
            <w:pPr>
              <w:spacing w:after="0" w:line="480" w:lineRule="auto"/>
              <w:jc w:val="right"/>
              <w:rPr>
                <w:rFonts w:ascii="Times New Roman" w:eastAsia="Times New Roman" w:hAnsi="Times New Roman" w:cs="Times New Roman"/>
                <w:color w:val="000000" w:themeColor="text1"/>
              </w:rPr>
            </w:pPr>
          </w:p>
        </w:tc>
        <w:tc>
          <w:tcPr>
            <w:tcW w:w="1000" w:type="dxa"/>
            <w:tcBorders>
              <w:top w:val="nil"/>
              <w:left w:val="nil"/>
              <w:bottom w:val="nil"/>
              <w:right w:val="nil"/>
            </w:tcBorders>
            <w:shd w:val="clear" w:color="auto" w:fill="auto"/>
            <w:noWrap/>
            <w:vAlign w:val="bottom"/>
            <w:hideMark/>
          </w:tcPr>
          <w:p w:rsidR="00B12AB0" w:rsidRPr="007E39E8" w:rsidRDefault="00B12AB0" w:rsidP="00203F5B">
            <w:pPr>
              <w:spacing w:after="0" w:line="480" w:lineRule="auto"/>
              <w:jc w:val="right"/>
              <w:rPr>
                <w:rFonts w:ascii="Times New Roman" w:eastAsia="Times New Roman" w:hAnsi="Times New Roman" w:cs="Times New Roman"/>
                <w:color w:val="000000" w:themeColor="text1"/>
              </w:rPr>
            </w:pPr>
          </w:p>
        </w:tc>
        <w:tc>
          <w:tcPr>
            <w:tcW w:w="960" w:type="dxa"/>
            <w:tcBorders>
              <w:top w:val="nil"/>
              <w:left w:val="nil"/>
              <w:bottom w:val="nil"/>
              <w:right w:val="nil"/>
            </w:tcBorders>
            <w:shd w:val="clear" w:color="auto" w:fill="auto"/>
            <w:noWrap/>
            <w:vAlign w:val="bottom"/>
            <w:hideMark/>
          </w:tcPr>
          <w:p w:rsidR="00B12AB0" w:rsidRPr="007E39E8" w:rsidRDefault="00B12AB0" w:rsidP="00203F5B">
            <w:pPr>
              <w:spacing w:after="0" w:line="480" w:lineRule="auto"/>
              <w:jc w:val="right"/>
              <w:rPr>
                <w:rFonts w:ascii="Times New Roman" w:eastAsia="Times New Roman" w:hAnsi="Times New Roman" w:cs="Times New Roman"/>
                <w:color w:val="000000" w:themeColor="text1"/>
              </w:rPr>
            </w:pPr>
          </w:p>
        </w:tc>
      </w:tr>
    </w:tbl>
    <w:p w:rsidR="00C3668F" w:rsidRPr="007E39E8" w:rsidRDefault="00C3668F" w:rsidP="00203F5B">
      <w:pPr>
        <w:spacing w:line="480" w:lineRule="auto"/>
        <w:rPr>
          <w:rFonts w:ascii="Times New Roman" w:hAnsi="Times New Roman" w:cs="Times New Roman"/>
          <w:b/>
          <w:color w:val="000000" w:themeColor="text1"/>
        </w:rPr>
      </w:pPr>
      <w:r w:rsidRPr="007E39E8">
        <w:rPr>
          <w:rFonts w:ascii="Times New Roman" w:hAnsi="Times New Roman" w:cs="Times New Roman"/>
          <w:b/>
          <w:color w:val="000000" w:themeColor="text1"/>
        </w:rPr>
        <w:t>PMIS-TS Case definition by UK Royal College of Pediatrics and Child Health</w:t>
      </w:r>
      <w:r w:rsidR="001F58C7" w:rsidRPr="007E39E8">
        <w:rPr>
          <w:rFonts w:ascii="Times New Roman" w:hAnsi="Times New Roman" w:cs="Times New Roman"/>
          <w:b/>
          <w:color w:val="000000" w:themeColor="text1"/>
        </w:rPr>
        <w:fldChar w:fldCharType="begin" w:fldLock="1"/>
      </w:r>
      <w:r w:rsidR="0012106B">
        <w:rPr>
          <w:rFonts w:ascii="Times New Roman" w:hAnsi="Times New Roman" w:cs="Times New Roman"/>
          <w:b/>
          <w:color w:val="000000" w:themeColor="text1"/>
        </w:rPr>
        <w:instrText>ADDIN CSL_CITATION {"citationItems":[{"id":"ITEM-1","itemData":{"author":[{"dropping-particle":"","family":"Heald","given":"Royal College of Paediatrics and Child","non-dropping-particle":"","parse-names":false,"suffix":""}],"container-title":"Royal College of Paediatrics and Child Health","id":"ITEM-1","issued":{"date-parts":[["2020"]]},"page":"1-6","title":"Guidance paediatric multisystem inflammatory syndrome temporallly associated with Cov-19","type":"article-journal"},"uris":["http://www.mendeley.com/documents/?uuid=30e8d2ef-99b8-4b47-8a3c-b7efc1bec4a5"]}],"mendeley":{"formattedCitation":"(2)","plainTextFormattedCitation":"(2)","previouslyFormattedCitation":"(7)"},"properties":{"noteIndex":0},"schema":"https://github.com/citation-style-language/schema/raw/master/csl-citation.json"}</w:instrText>
      </w:r>
      <w:r w:rsidR="001F58C7" w:rsidRPr="007E39E8">
        <w:rPr>
          <w:rFonts w:ascii="Times New Roman" w:hAnsi="Times New Roman" w:cs="Times New Roman"/>
          <w:b/>
          <w:color w:val="000000" w:themeColor="text1"/>
        </w:rPr>
        <w:fldChar w:fldCharType="separate"/>
      </w:r>
      <w:r w:rsidR="0012106B" w:rsidRPr="0012106B">
        <w:rPr>
          <w:rFonts w:ascii="Times New Roman" w:hAnsi="Times New Roman" w:cs="Times New Roman"/>
          <w:noProof/>
          <w:color w:val="000000" w:themeColor="text1"/>
        </w:rPr>
        <w:t>(2)</w:t>
      </w:r>
      <w:r w:rsidR="001F58C7" w:rsidRPr="007E39E8">
        <w:rPr>
          <w:rFonts w:ascii="Times New Roman" w:hAnsi="Times New Roman" w:cs="Times New Roman"/>
          <w:b/>
          <w:color w:val="000000" w:themeColor="text1"/>
        </w:rPr>
        <w:fldChar w:fldCharType="end"/>
      </w:r>
      <w:r w:rsidRPr="007E39E8">
        <w:rPr>
          <w:rFonts w:ascii="Times New Roman" w:hAnsi="Times New Roman" w:cs="Times New Roman"/>
          <w:b/>
          <w:color w:val="000000" w:themeColor="text1"/>
        </w:rPr>
        <w:t>:</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1. A child presenting with persistent fever, inflammation (neutrophilia, elevated CRP and lymphopaenia) and evidence of single or multi-organ dysfunction (shock, cardiac, respiratory, renal, gastrointestinal or neurological disorder) with additional features ). This may include children fulfilling full or partial criteria for Kawasaki disease.</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2. Exclusion of any other microbial cause, including bacterial sepsis, staphylococcal or streptococcal shock syndromes, infections associated with myocarditis such as enterovirus (waiting for results of these investigations should not delay seeking expert advice).</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3. SARS-CoV-2 PCR testing may be positive or negative</w:t>
      </w:r>
    </w:p>
    <w:p w:rsidR="00C3668F" w:rsidRPr="007E39E8" w:rsidRDefault="00C3668F" w:rsidP="00203F5B">
      <w:pPr>
        <w:spacing w:line="480" w:lineRule="auto"/>
        <w:rPr>
          <w:rFonts w:ascii="Times New Roman" w:hAnsi="Times New Roman" w:cs="Times New Roman"/>
          <w:b/>
          <w:color w:val="000000" w:themeColor="text1"/>
          <w:u w:val="single"/>
        </w:rPr>
      </w:pPr>
    </w:p>
    <w:p w:rsidR="00C3668F" w:rsidRPr="007E39E8" w:rsidRDefault="00C3668F" w:rsidP="00203F5B">
      <w:pPr>
        <w:spacing w:line="480" w:lineRule="auto"/>
        <w:rPr>
          <w:rFonts w:ascii="Times New Roman" w:hAnsi="Times New Roman" w:cs="Times New Roman"/>
          <w:b/>
          <w:color w:val="000000" w:themeColor="text1"/>
          <w:u w:val="single"/>
        </w:rPr>
      </w:pPr>
      <w:r w:rsidRPr="007E39E8">
        <w:rPr>
          <w:rFonts w:ascii="Times New Roman" w:hAnsi="Times New Roman" w:cs="Times New Roman"/>
          <w:b/>
          <w:color w:val="000000" w:themeColor="text1"/>
          <w:u w:val="single"/>
        </w:rPr>
        <w:t xml:space="preserve">Clinical </w:t>
      </w:r>
    </w:p>
    <w:p w:rsidR="00C3668F" w:rsidRPr="007E39E8" w:rsidRDefault="00C3668F" w:rsidP="00203F5B">
      <w:pPr>
        <w:spacing w:line="480" w:lineRule="auto"/>
        <w:rPr>
          <w:rFonts w:ascii="Times New Roman" w:hAnsi="Times New Roman" w:cs="Times New Roman"/>
          <w:b/>
          <w:i/>
          <w:color w:val="000000" w:themeColor="text1"/>
        </w:rPr>
      </w:pPr>
      <w:proofErr w:type="gramStart"/>
      <w:r w:rsidRPr="007E39E8">
        <w:rPr>
          <w:rFonts w:ascii="Times New Roman" w:hAnsi="Times New Roman" w:cs="Times New Roman"/>
          <w:b/>
          <w:i/>
          <w:color w:val="000000" w:themeColor="text1"/>
        </w:rPr>
        <w:t>All :</w:t>
      </w:r>
      <w:proofErr w:type="gramEnd"/>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Persistent fever &gt;38.5°C Most:</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xml:space="preserve">• Oxygen requirement • Hypotension </w:t>
      </w: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Some:</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lastRenderedPageBreak/>
        <w:t>• Abdominal pain • Confusion • Conjunctivitis • Cough • Diarrhoea • Headache • Lymphadenopathy • Mucus membrane changes • Neck swelling • Rash • Resp symptoms • Sore throat • Swollen hands and feet • Syncope • Vomiting</w:t>
      </w:r>
    </w:p>
    <w:p w:rsidR="00C3668F" w:rsidRPr="007E39E8" w:rsidRDefault="00C3668F"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Imaging and ECG:</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Echo and ECG – myocarditis, valvulitis, pericardial effusion, coronary artery dilatation</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CXR – patchy symmetrical infiltrates, pleural effusion</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Abdo USS – colitis, ileitis, lymphadenopathy, ascites, hepatosplenomegaly</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CT chest – as for CXR – may demonstrate coronary artery abnormalities if with contrast</w:t>
      </w:r>
    </w:p>
    <w:p w:rsidR="00C3668F" w:rsidRPr="007E39E8" w:rsidRDefault="00C3668F" w:rsidP="00203F5B">
      <w:pPr>
        <w:spacing w:line="480" w:lineRule="auto"/>
        <w:rPr>
          <w:rFonts w:ascii="Times New Roman" w:hAnsi="Times New Roman" w:cs="Times New Roman"/>
          <w:b/>
          <w:color w:val="000000" w:themeColor="text1"/>
          <w:u w:val="single"/>
        </w:rPr>
      </w:pPr>
      <w:r w:rsidRPr="007E39E8">
        <w:rPr>
          <w:rFonts w:ascii="Times New Roman" w:hAnsi="Times New Roman" w:cs="Times New Roman"/>
          <w:b/>
          <w:color w:val="000000" w:themeColor="text1"/>
          <w:u w:val="single"/>
        </w:rPr>
        <w:t xml:space="preserve">Laboratory </w:t>
      </w:r>
    </w:p>
    <w:p w:rsidR="00C3668F" w:rsidRPr="007E39E8" w:rsidRDefault="00C3668F"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All:</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Abnormal Fibrinogen • Absence of potential causative organisms (other than SARS-CoV-2)</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High CRP • High D-Dimers • High ferritin • Hypoalbuminaemia • Lymphopenia • Neutrophilia in most – normal neutrophils in some</w:t>
      </w:r>
    </w:p>
    <w:p w:rsidR="00C3668F" w:rsidRPr="007E39E8" w:rsidRDefault="00C3668F" w:rsidP="00203F5B">
      <w:pPr>
        <w:spacing w:line="480" w:lineRule="auto"/>
        <w:rPr>
          <w:rFonts w:ascii="Times New Roman" w:hAnsi="Times New Roman" w:cs="Times New Roman"/>
          <w:b/>
          <w:i/>
          <w:color w:val="000000" w:themeColor="text1"/>
        </w:rPr>
      </w:pPr>
      <w:r w:rsidRPr="007E39E8">
        <w:rPr>
          <w:rFonts w:ascii="Times New Roman" w:hAnsi="Times New Roman" w:cs="Times New Roman"/>
          <w:b/>
          <w:i/>
          <w:color w:val="000000" w:themeColor="text1"/>
        </w:rPr>
        <w:t>Some:</w:t>
      </w:r>
    </w:p>
    <w:p w:rsidR="00C3668F" w:rsidRPr="007E39E8" w:rsidRDefault="00C3668F" w:rsidP="00203F5B">
      <w:pPr>
        <w:spacing w:line="480" w:lineRule="auto"/>
        <w:rPr>
          <w:rFonts w:ascii="Times New Roman" w:hAnsi="Times New Roman" w:cs="Times New Roman"/>
          <w:color w:val="000000" w:themeColor="text1"/>
        </w:rPr>
      </w:pPr>
      <w:r w:rsidRPr="007E39E8">
        <w:rPr>
          <w:rFonts w:ascii="Times New Roman" w:hAnsi="Times New Roman" w:cs="Times New Roman"/>
          <w:color w:val="000000" w:themeColor="text1"/>
        </w:rPr>
        <w:t>• Acute kidney injury • Anaemia • Coagulopathy • High IL-10 (if available)* • High IL-6 (if available)* • Neutrophilia • Proteinuria • Raised CK • Raised LDH • Raised triglycerides • Raised troponin • Thrombocytopenia • Transaminitis</w:t>
      </w:r>
    </w:p>
    <w:p w:rsidR="00C3668F" w:rsidRPr="007E39E8" w:rsidRDefault="00C3668F" w:rsidP="00203F5B">
      <w:pPr>
        <w:spacing w:line="480" w:lineRule="auto"/>
        <w:rPr>
          <w:rFonts w:ascii="Times New Roman" w:hAnsi="Times New Roman" w:cs="Times New Roman"/>
          <w:color w:val="000000" w:themeColor="text1"/>
        </w:rPr>
      </w:pPr>
    </w:p>
    <w:p w:rsidR="00591A71" w:rsidRPr="00591A71" w:rsidRDefault="00591A71" w:rsidP="00203F5B">
      <w:pPr>
        <w:spacing w:before="100" w:beforeAutospacing="1" w:after="100" w:afterAutospacing="1" w:line="480" w:lineRule="auto"/>
        <w:outlineLvl w:val="2"/>
        <w:rPr>
          <w:rFonts w:ascii="Times New Roman" w:eastAsia="Times New Roman" w:hAnsi="Times New Roman" w:cs="Times New Roman"/>
          <w:b/>
          <w:bCs/>
          <w:color w:val="000000" w:themeColor="text1"/>
        </w:rPr>
      </w:pPr>
      <w:r w:rsidRPr="007E39E8">
        <w:rPr>
          <w:rFonts w:ascii="Times New Roman" w:eastAsia="Times New Roman" w:hAnsi="Times New Roman" w:cs="Times New Roman"/>
          <w:b/>
          <w:bCs/>
          <w:color w:val="000000" w:themeColor="text1"/>
        </w:rPr>
        <w:t>Preliminary case definition by the World Health Organisation</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Children and adolescents 0–19 years of age with fever </w:t>
      </w:r>
      <w:r w:rsidRPr="00591A71">
        <w:rPr>
          <w:rFonts w:ascii="Times New Roman" w:eastAsia="Times New Roman" w:hAnsi="Times New Roman" w:cs="Times New Roman"/>
          <w:color w:val="000000" w:themeColor="text1"/>
          <w:u w:val="single"/>
        </w:rPr>
        <w:t>&gt; </w:t>
      </w:r>
      <w:r w:rsidRPr="00591A71">
        <w:rPr>
          <w:rFonts w:ascii="Times New Roman" w:eastAsia="Times New Roman" w:hAnsi="Times New Roman" w:cs="Times New Roman"/>
          <w:color w:val="000000" w:themeColor="text1"/>
        </w:rPr>
        <w:t>3 days</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7E39E8">
        <w:rPr>
          <w:rFonts w:ascii="Times New Roman" w:eastAsia="Times New Roman" w:hAnsi="Times New Roman" w:cs="Times New Roman"/>
          <w:b/>
          <w:bCs/>
          <w:color w:val="000000" w:themeColor="text1"/>
        </w:rPr>
        <w:lastRenderedPageBreak/>
        <w:t>AND</w:t>
      </w:r>
      <w:r w:rsidRPr="007E39E8">
        <w:rPr>
          <w:rFonts w:ascii="Times New Roman" w:eastAsia="Times New Roman" w:hAnsi="Times New Roman" w:cs="Times New Roman"/>
          <w:i/>
          <w:iCs/>
          <w:color w:val="000000" w:themeColor="text1"/>
        </w:rPr>
        <w:t> </w:t>
      </w:r>
      <w:r w:rsidRPr="00591A71">
        <w:rPr>
          <w:rFonts w:ascii="Times New Roman" w:eastAsia="Times New Roman" w:hAnsi="Times New Roman" w:cs="Times New Roman"/>
          <w:color w:val="000000" w:themeColor="text1"/>
          <w:u w:val="single"/>
        </w:rPr>
        <w:t>two</w:t>
      </w:r>
      <w:r w:rsidRPr="007E39E8">
        <w:rPr>
          <w:rFonts w:ascii="Times New Roman" w:eastAsia="Times New Roman" w:hAnsi="Times New Roman" w:cs="Times New Roman"/>
          <w:b/>
          <w:bCs/>
          <w:color w:val="000000" w:themeColor="text1"/>
          <w:u w:val="single"/>
        </w:rPr>
        <w:t> </w:t>
      </w:r>
      <w:r w:rsidRPr="00591A71">
        <w:rPr>
          <w:rFonts w:ascii="Times New Roman" w:eastAsia="Times New Roman" w:hAnsi="Times New Roman" w:cs="Times New Roman"/>
          <w:color w:val="000000" w:themeColor="text1"/>
        </w:rPr>
        <w:t>of the following:                                                  </w:t>
      </w:r>
    </w:p>
    <w:p w:rsidR="00591A71" w:rsidRPr="00591A71" w:rsidRDefault="00591A71" w:rsidP="00203F5B">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Rash or bilateral non-purulent conjunctivitis or muco-cutaneous inflammation signs (oral, hands or feet).</w:t>
      </w:r>
    </w:p>
    <w:p w:rsidR="00591A71" w:rsidRPr="00591A71" w:rsidRDefault="00591A71" w:rsidP="00203F5B">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Hypotension or shock.</w:t>
      </w:r>
    </w:p>
    <w:p w:rsidR="00591A71" w:rsidRPr="00591A71" w:rsidRDefault="00591A71" w:rsidP="00203F5B">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Features of myocardial dysfunction, pericarditis, valvulitis, or coronary abnormalities (including ECHO findings or elevated Troponin/NT-proBNP),</w:t>
      </w:r>
    </w:p>
    <w:p w:rsidR="00591A71" w:rsidRPr="00591A71" w:rsidRDefault="00591A71" w:rsidP="00203F5B">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Evidence of coagulopathy (by PT, PTT, elevated d-Dimers).</w:t>
      </w:r>
    </w:p>
    <w:p w:rsidR="00591A71" w:rsidRPr="00591A71" w:rsidRDefault="00591A71" w:rsidP="00203F5B">
      <w:pPr>
        <w:numPr>
          <w:ilvl w:val="0"/>
          <w:numId w:val="2"/>
        </w:num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Acute gastrointestinal problems (diarrhoea, vomiting, or abdominal pain).</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7E39E8">
        <w:rPr>
          <w:rFonts w:ascii="Times New Roman" w:eastAsia="Times New Roman" w:hAnsi="Times New Roman" w:cs="Times New Roman"/>
          <w:b/>
          <w:bCs/>
          <w:color w:val="000000" w:themeColor="text1"/>
        </w:rPr>
        <w:t>AND</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proofErr w:type="gramStart"/>
      <w:r w:rsidRPr="00591A71">
        <w:rPr>
          <w:rFonts w:ascii="Times New Roman" w:eastAsia="Times New Roman" w:hAnsi="Times New Roman" w:cs="Times New Roman"/>
          <w:color w:val="000000" w:themeColor="text1"/>
        </w:rPr>
        <w:t>Elevated markers of inflammation such as ESR, C-reactive protein, or procalcitonin.</w:t>
      </w:r>
      <w:proofErr w:type="gramEnd"/>
      <w:r w:rsidRPr="00591A71">
        <w:rPr>
          <w:rFonts w:ascii="Times New Roman" w:eastAsia="Times New Roman" w:hAnsi="Times New Roman" w:cs="Times New Roman"/>
          <w:color w:val="000000" w:themeColor="text1"/>
        </w:rPr>
        <w:t> </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7E39E8">
        <w:rPr>
          <w:rFonts w:ascii="Times New Roman" w:eastAsia="Times New Roman" w:hAnsi="Times New Roman" w:cs="Times New Roman"/>
          <w:b/>
          <w:bCs/>
          <w:color w:val="000000" w:themeColor="text1"/>
        </w:rPr>
        <w:t>AND</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591A71">
        <w:rPr>
          <w:rFonts w:ascii="Times New Roman" w:eastAsia="Times New Roman" w:hAnsi="Times New Roman" w:cs="Times New Roman"/>
          <w:color w:val="000000" w:themeColor="text1"/>
        </w:rPr>
        <w:t>No other obvious microbial cause of inflammation, including bacterial sepsis, staphylococcal or streptococcal shock syndromes.</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r w:rsidRPr="007E39E8">
        <w:rPr>
          <w:rFonts w:ascii="Times New Roman" w:eastAsia="Times New Roman" w:hAnsi="Times New Roman" w:cs="Times New Roman"/>
          <w:b/>
          <w:bCs/>
          <w:color w:val="000000" w:themeColor="text1"/>
        </w:rPr>
        <w:t>AND</w:t>
      </w:r>
    </w:p>
    <w:p w:rsidR="00591A71" w:rsidRPr="00591A71" w:rsidRDefault="00591A71" w:rsidP="00203F5B">
      <w:pPr>
        <w:spacing w:before="100" w:beforeAutospacing="1" w:after="100" w:afterAutospacing="1" w:line="480" w:lineRule="auto"/>
        <w:rPr>
          <w:rFonts w:ascii="Times New Roman" w:eastAsia="Times New Roman" w:hAnsi="Times New Roman" w:cs="Times New Roman"/>
          <w:color w:val="000000" w:themeColor="text1"/>
        </w:rPr>
      </w:pPr>
      <w:proofErr w:type="gramStart"/>
      <w:r w:rsidRPr="00591A71">
        <w:rPr>
          <w:rFonts w:ascii="Times New Roman" w:eastAsia="Times New Roman" w:hAnsi="Times New Roman" w:cs="Times New Roman"/>
          <w:color w:val="000000" w:themeColor="text1"/>
        </w:rPr>
        <w:t>Evidence of COVID-19</w:t>
      </w:r>
      <w:r w:rsidRPr="007E39E8">
        <w:rPr>
          <w:rFonts w:ascii="Times New Roman" w:eastAsia="Times New Roman" w:hAnsi="Times New Roman" w:cs="Times New Roman"/>
          <w:b/>
          <w:bCs/>
          <w:color w:val="000000" w:themeColor="text1"/>
        </w:rPr>
        <w:t> (</w:t>
      </w:r>
      <w:r w:rsidRPr="00591A71">
        <w:rPr>
          <w:rFonts w:ascii="Times New Roman" w:eastAsia="Times New Roman" w:hAnsi="Times New Roman" w:cs="Times New Roman"/>
          <w:color w:val="000000" w:themeColor="text1"/>
        </w:rPr>
        <w:t>RT-PCR, antigen test or serology positive), or likely contact with patients with COVID-19.</w:t>
      </w:r>
      <w:proofErr w:type="gramEnd"/>
    </w:p>
    <w:p w:rsidR="00591A71" w:rsidRPr="007E39E8" w:rsidRDefault="00591A71"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3A379D" w:rsidP="00203F5B">
      <w:pPr>
        <w:spacing w:line="480" w:lineRule="auto"/>
        <w:rPr>
          <w:rFonts w:ascii="Times New Roman" w:hAnsi="Times New Roman" w:cs="Times New Roman"/>
          <w:color w:val="000000" w:themeColor="text1"/>
        </w:rPr>
      </w:pPr>
      <w:r w:rsidRPr="007E39E8">
        <w:rPr>
          <w:rFonts w:ascii="Times New Roman" w:hAnsi="Times New Roman" w:cs="Times New Roman"/>
          <w:b/>
          <w:color w:val="000000" w:themeColor="text1"/>
        </w:rPr>
        <w:t>Case definition of Kawasaki disease</w:t>
      </w:r>
      <w:r w:rsidR="001F58C7" w:rsidRPr="007E39E8">
        <w:rPr>
          <w:rFonts w:ascii="Times New Roman" w:hAnsi="Times New Roman" w:cs="Times New Roman"/>
          <w:b/>
          <w:color w:val="000000" w:themeColor="text1"/>
        </w:rPr>
        <w:fldChar w:fldCharType="begin" w:fldLock="1"/>
      </w:r>
      <w:r w:rsidR="0012106B">
        <w:rPr>
          <w:rFonts w:ascii="Times New Roman" w:hAnsi="Times New Roman" w:cs="Times New Roman"/>
          <w:b/>
          <w:color w:val="000000" w:themeColor="text1"/>
        </w:rPr>
        <w:instrText>ADDIN CSL_CITATION {"citationItems":[{"id":"ITEM-1","itemData":{"DOI":"10.1161/CIR.0000000000000484","ISSN":"15244539","abstract":"BACKGROUND: Kawasaki disease is an acute vasculitis of childhood that leads to coronary artery aneurysms in ≈25% of untreated cases. It has been reported worldwide and is the leading cause of acquired heart disease in children in developed countries. METHODS AND RESULTS: To revise the previous American Heart Association guidelines, a multidisciplinary writing group of experts was convened to review and appraise available evidence and practice-based opinion, as well as to provide updated recommendations for diagnosis, treatment of the acute illness, and long-term management. Although the cause remains unknown, discussion sections highlight new insights into the epidemiology, genetics, pathogenesis, pathology, natural history, and longterm outcomes. Prompt diagnosis is essential, and an updated algorithm defines supplemental information to be used to assist the diagnosis when classic clinical criteria are incomplete. Although intravenous immune globulin is the mainstay of initial treatment, the role for additional primary therapy in selected patients is discussed. Approximately 10% to 20% of patients do not respond to initial intravenous immune globulin, and recommendations for additional therapies are provided. Careful initial management of evolving coronary artery abnormalities is essential, necessitating an increased frequency of assessments and escalation of thromboprophylaxis. Risk stratification for long-term management is based primarily on maximal coronary artery luminal dimensions, normalized as Z scores, and is calibrated to both past and current involvement. Patients with aneurysms require life-long and uninterrupted cardiology follow-up. CONCLUSIONS: These recommendations provide updated and best evidence-based guidance to healthcare providers who diagnose and manage Kawasaki disease, but clinical decision making should be individualized to specific patient circumstances.","author":[{"dropping-particle":"","family":"McCrindle","given":"Brian W.","non-dropping-particle":"","parse-names":false,"suffix":""},{"dropping-particle":"","family":"Rowley","given":"Anne H.","non-dropping-particle":"","parse-names":false,"suffix":""},{"dropping-particle":"","family":"Newburger","given":"Jane W.","non-dropping-particle":"","parse-names":false,"suffix":""},{"dropping-particle":"","family":"Burns","given":"Jane C.","non-dropping-particle":"","parse-names":false,"suffix":""},{"dropping-particle":"","family":"Bolger","given":"Anne F.","non-dropping-particle":"","parse-names":false,"suffix":""},{"dropping-particle":"","family":"Gewitz","given":"Michael","non-dropping-particle":"","parse-names":false,"suffix":""},{"dropping-particle":"","family":"Baker","given":"Annette L.","non-dropping-particle":"","parse-names":false,"suffix":""},{"dropping-particle":"","family":"Jackson","given":"Mary Anne","non-dropping-particle":"","parse-names":false,"suffix":""},{"dropping-particle":"","family":"Takahashi","given":"Masato","non-dropping-particle":"","parse-names":false,"suffix":""},{"dropping-particle":"","family":"Shah","given":"Pinak B.","non-dropping-particle":"","parse-names":false,"suffix":""},{"dropping-particle":"","family":"Kobayashi","given":"Tohru","non-dropping-particle":"","parse-names":false,"suffix":""},{"dropping-particle":"","family":"Wu","given":"Mei Hwan","non-dropping-particle":"","parse-names":false,"suffix":""},{"dropping-particle":"","family":"Saji","given":"Tsutomu T.","non-dropping-particle":"","parse-names":false,"suffix":""},{"dropping-particle":"","family":"Pahl","given":"Elfriede","non-dropping-particle":"","parse-names":false,"suffix":""}],"container-title":"Circulation","id":"ITEM-1","issue":"17","issued":{"date-parts":[["2017","4","25"]]},"page":"e927-e999","publisher":"Lippincott Williams and Wilkins","title":"Diagnosis, treatment, and long-term management of Kawasaki disease: A scientific statement for health professionals from the American Heart Association","type":"article-journal","volume":"135"},"uris":["http://www.mendeley.com/documents/?uuid=a7027a87-c508-36a3-93a7-80cab3acb97b"]}],"mendeley":{"formattedCitation":"(3)","plainTextFormattedCitation":"(3)","previouslyFormattedCitation":"(8)"},"properties":{"noteIndex":0},"schema":"https://github.com/citation-style-language/schema/raw/master/csl-citation.json"}</w:instrText>
      </w:r>
      <w:r w:rsidR="001F58C7" w:rsidRPr="007E39E8">
        <w:rPr>
          <w:rFonts w:ascii="Times New Roman" w:hAnsi="Times New Roman" w:cs="Times New Roman"/>
          <w:b/>
          <w:color w:val="000000" w:themeColor="text1"/>
        </w:rPr>
        <w:fldChar w:fldCharType="separate"/>
      </w:r>
      <w:r w:rsidR="0012106B" w:rsidRPr="0012106B">
        <w:rPr>
          <w:rFonts w:ascii="Times New Roman" w:hAnsi="Times New Roman" w:cs="Times New Roman"/>
          <w:noProof/>
          <w:color w:val="000000" w:themeColor="text1"/>
        </w:rPr>
        <w:t>(3)</w:t>
      </w:r>
      <w:r w:rsidR="001F58C7" w:rsidRPr="007E39E8">
        <w:rPr>
          <w:rFonts w:ascii="Times New Roman" w:hAnsi="Times New Roman" w:cs="Times New Roman"/>
          <w:b/>
          <w:color w:val="000000" w:themeColor="text1"/>
        </w:rPr>
        <w:fldChar w:fldCharType="end"/>
      </w:r>
      <w:r w:rsidR="00A53C7D" w:rsidRPr="007E39E8">
        <w:rPr>
          <w:rFonts w:ascii="Times New Roman" w:hAnsi="Times New Roman" w:cs="Times New Roman"/>
          <w:b/>
          <w:color w:val="000000" w:themeColor="text1"/>
        </w:rPr>
        <w:t xml:space="preserve"> :</w:t>
      </w:r>
    </w:p>
    <w:p w:rsidR="003A379D" w:rsidRPr="007E39E8" w:rsidRDefault="003A379D" w:rsidP="00203F5B">
      <w:pPr>
        <w:autoSpaceDE w:val="0"/>
        <w:autoSpaceDN w:val="0"/>
        <w:adjustRightInd w:val="0"/>
        <w:spacing w:after="0" w:line="480" w:lineRule="auto"/>
        <w:rPr>
          <w:rFonts w:ascii="Times New Roman" w:eastAsia="GuardianSansGR-Regular" w:hAnsi="Times New Roman" w:cs="Times New Roman"/>
          <w:color w:val="000000" w:themeColor="text1"/>
        </w:rPr>
      </w:pPr>
      <w:r w:rsidRPr="007E39E8">
        <w:rPr>
          <w:rFonts w:ascii="Times New Roman" w:eastAsia="GuardianSansGR-Regular" w:hAnsi="Times New Roman" w:cs="Times New Roman"/>
          <w:color w:val="000000" w:themeColor="text1"/>
        </w:rPr>
        <w:lastRenderedPageBreak/>
        <w:t>American Heart Association criteria for the definition of Kawasaki disease is to have persistent fever</w:t>
      </w:r>
      <w:r w:rsidR="00D87990" w:rsidRPr="007E39E8">
        <w:rPr>
          <w:rFonts w:ascii="Times New Roman" w:eastAsia="GuardianSansGR-Regular" w:hAnsi="Times New Roman" w:cs="Times New Roman"/>
          <w:color w:val="000000" w:themeColor="text1"/>
        </w:rPr>
        <w:t xml:space="preserve"> or atleast 5 days </w:t>
      </w:r>
      <w:r w:rsidRPr="007E39E8">
        <w:rPr>
          <w:rFonts w:ascii="Times New Roman" w:eastAsia="GuardianSansGR-Regular" w:hAnsi="Times New Roman" w:cs="Times New Roman"/>
          <w:color w:val="000000" w:themeColor="text1"/>
        </w:rPr>
        <w:t xml:space="preserve"> and 4 of the following 5 mucocutaneous features: erythema and cracking of lips, strawberry tongue, and/or erythema of oral and pharyngeal mucosa; bilateral bulbar conjunctival injection without exudate; rash (maculopapular, diffuse erythroderma); erythema and edema of the hands and feet in acute phase and/or periungual desquamation in subacute phase; and cervical lymphadenopathy (&gt;1.5 cm diameter). Patients with fewer than 4 features were stratified as having Kawasaki disease if coronary artery aneurysms were present. In the absence of coronary artery changes, stratification by Kawasaki clinical criteria required 4 of 5 features to be present.</w:t>
      </w:r>
    </w:p>
    <w:p w:rsidR="00C3668F" w:rsidRPr="007E39E8" w:rsidRDefault="00C3668F" w:rsidP="00203F5B">
      <w:pPr>
        <w:spacing w:line="480" w:lineRule="auto"/>
        <w:rPr>
          <w:rFonts w:ascii="Times New Roman" w:hAnsi="Times New Roman" w:cs="Times New Roman"/>
          <w:color w:val="000000" w:themeColor="text1"/>
        </w:rPr>
      </w:pPr>
    </w:p>
    <w:p w:rsidR="009F1782" w:rsidRPr="009F1782" w:rsidRDefault="009F1782" w:rsidP="00203F5B">
      <w:pPr>
        <w:shd w:val="clear" w:color="auto" w:fill="FFFFFF"/>
        <w:spacing w:after="240" w:line="480" w:lineRule="auto"/>
        <w:rPr>
          <w:rFonts w:ascii="Times New Roman" w:hAnsi="Times New Roman" w:cs="Times New Roman"/>
          <w:b/>
          <w:color w:val="000000" w:themeColor="text1"/>
          <w:shd w:val="clear" w:color="auto" w:fill="FFFFFF"/>
        </w:rPr>
      </w:pPr>
      <w:r w:rsidRPr="009F1782">
        <w:rPr>
          <w:rFonts w:ascii="Times New Roman" w:hAnsi="Times New Roman" w:cs="Times New Roman"/>
          <w:b/>
          <w:color w:val="000000" w:themeColor="text1"/>
          <w:shd w:val="clear" w:color="auto" w:fill="FFFFFF"/>
        </w:rPr>
        <w:t>Abbreviations</w:t>
      </w:r>
      <w:r>
        <w:rPr>
          <w:rFonts w:ascii="Times New Roman" w:hAnsi="Times New Roman" w:cs="Times New Roman"/>
          <w:b/>
          <w:color w:val="000000" w:themeColor="text1"/>
          <w:shd w:val="clear" w:color="auto" w:fill="FFFFFF"/>
        </w:rPr>
        <w:t xml:space="preserve"> of the terms used in </w:t>
      </w:r>
      <w:proofErr w:type="gramStart"/>
      <w:r>
        <w:rPr>
          <w:rFonts w:ascii="Times New Roman" w:hAnsi="Times New Roman" w:cs="Times New Roman"/>
          <w:b/>
          <w:color w:val="000000" w:themeColor="text1"/>
          <w:shd w:val="clear" w:color="auto" w:fill="FFFFFF"/>
        </w:rPr>
        <w:t>pathogenesis</w:t>
      </w:r>
      <w:r w:rsidRPr="009F1782">
        <w:rPr>
          <w:rFonts w:ascii="Times New Roman" w:hAnsi="Times New Roman" w:cs="Times New Roman"/>
          <w:b/>
          <w:color w:val="000000" w:themeColor="text1"/>
          <w:shd w:val="clear" w:color="auto" w:fill="FFFFFF"/>
        </w:rPr>
        <w:t xml:space="preserve"> :</w:t>
      </w:r>
      <w:proofErr w:type="gramEnd"/>
      <w:r w:rsidRPr="009F1782">
        <w:rPr>
          <w:rFonts w:ascii="Times New Roman" w:hAnsi="Times New Roman" w:cs="Times New Roman"/>
          <w:b/>
          <w:color w:val="000000" w:themeColor="text1"/>
          <w:shd w:val="clear" w:color="auto" w:fill="FFFFFF"/>
        </w:rPr>
        <w:t xml:space="preserve"> </w:t>
      </w:r>
    </w:p>
    <w:p w:rsidR="009F1782" w:rsidRDefault="009F1782" w:rsidP="00203F5B">
      <w:pPr>
        <w:shd w:val="clear" w:color="auto" w:fill="FFFFFF"/>
        <w:spacing w:after="240" w:line="480" w:lineRule="auto"/>
        <w:rPr>
          <w:rFonts w:ascii="Times New Roman" w:hAnsi="Times New Roman" w:cs="Times New Roman"/>
          <w:color w:val="000000" w:themeColor="text1"/>
          <w:shd w:val="clear" w:color="auto" w:fill="FFFFFF"/>
        </w:rPr>
      </w:pPr>
      <w:r w:rsidRPr="009F1782">
        <w:rPr>
          <w:rFonts w:ascii="Times New Roman" w:hAnsi="Times New Roman" w:cs="Times New Roman"/>
          <w:color w:val="000000" w:themeColor="text1"/>
          <w:shd w:val="clear" w:color="auto" w:fill="FFFFFF"/>
        </w:rPr>
        <w:t>Intercellular Adhesion Molecule 1(ICAM-1) also known as CD54 (Cluster of Differentiation 54), Lysosome-associated membrane protein 1 (LAMP1), STING (stimulator of interferon genes), Transmembrane protein 173 (TMEM173), Interferon gamma receptor 2 also known as IFN-γR2 is a protein which in humans is encoded by the IFNGR2 gene, Mediator of DNA damage checkpoint protein 1 (MDC1), Plasmacytoid dendritic cells (pDCs), Chemokine (C-C motif) ligand 20 (CCL20), MUC4: mucin 4, cell surface associated, P2RX4 purinergic receptor P2X, ligand-gated ion channel 4, ECE2 (Endothelin Converting Enzyme 2), C-type lectin family 14, member A (CLEC14A), NF-κB Nuclear Factor kappa-light-chain-enhancer of activated B cells, vascular endothelial growth factor A ( VEGFA), Folate hydrolase 1 (FOLH1), Interferon regulatory factor 3 (IRF3),  Interferon beta (IFNß),  STING-associated vasculopathy with onset in infancy (SAVI), non-structural protein (nsp)</w:t>
      </w: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color w:val="000000" w:themeColor="text1"/>
        </w:rPr>
      </w:pPr>
    </w:p>
    <w:p w:rsidR="00C3668F" w:rsidRPr="007E39E8" w:rsidRDefault="00C3668F"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Default="00C31198" w:rsidP="00203F5B">
      <w:pPr>
        <w:spacing w:line="480" w:lineRule="auto"/>
        <w:rPr>
          <w:rFonts w:ascii="Times New Roman" w:hAnsi="Times New Roman" w:cs="Times New Roman"/>
          <w:color w:val="000000" w:themeColor="text1"/>
        </w:rPr>
      </w:pPr>
    </w:p>
    <w:p w:rsidR="00600A78" w:rsidRDefault="00600A78" w:rsidP="00203F5B">
      <w:pPr>
        <w:spacing w:line="480" w:lineRule="auto"/>
        <w:rPr>
          <w:rFonts w:ascii="Times New Roman" w:hAnsi="Times New Roman" w:cs="Times New Roman"/>
          <w:color w:val="000000" w:themeColor="text1"/>
        </w:rPr>
      </w:pPr>
    </w:p>
    <w:p w:rsidR="00600A78" w:rsidRPr="007E39E8" w:rsidRDefault="00600A78"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777425" w:rsidRDefault="00777425" w:rsidP="00203F5B">
      <w:pPr>
        <w:spacing w:line="480" w:lineRule="auto"/>
        <w:rPr>
          <w:rFonts w:ascii="Times New Roman" w:hAnsi="Times New Roman" w:cs="Times New Roman"/>
          <w:color w:val="000000" w:themeColor="text1"/>
        </w:rPr>
      </w:pPr>
    </w:p>
    <w:p w:rsidR="00AE4BDC" w:rsidRDefault="00AE4BDC" w:rsidP="00203F5B">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REFERENCES:</w:t>
      </w:r>
    </w:p>
    <w:p w:rsidR="0012106B" w:rsidRPr="0012106B" w:rsidRDefault="001F58C7" w:rsidP="00203F5B">
      <w:pPr>
        <w:widowControl w:val="0"/>
        <w:autoSpaceDE w:val="0"/>
        <w:autoSpaceDN w:val="0"/>
        <w:adjustRightInd w:val="0"/>
        <w:spacing w:line="480" w:lineRule="auto"/>
        <w:ind w:left="640" w:hanging="640"/>
        <w:rPr>
          <w:rFonts w:ascii="Times New Roman" w:hAnsi="Times New Roman" w:cs="Times New Roman"/>
          <w:noProof/>
          <w:szCs w:val="24"/>
        </w:rPr>
      </w:pPr>
      <w:r>
        <w:rPr>
          <w:rFonts w:ascii="Times New Roman" w:hAnsi="Times New Roman" w:cs="Times New Roman"/>
          <w:color w:val="000000" w:themeColor="text1"/>
        </w:rPr>
        <w:fldChar w:fldCharType="begin" w:fldLock="1"/>
      </w:r>
      <w:r w:rsidR="00AE4BDC">
        <w:rPr>
          <w:rFonts w:ascii="Times New Roman" w:hAnsi="Times New Roman" w:cs="Times New Roman"/>
          <w:color w:val="000000" w:themeColor="text1"/>
        </w:rPr>
        <w:instrText xml:space="preserve">ADDIN Mendeley Bibliography CSL_BIBLIOGRAPHY </w:instrText>
      </w:r>
      <w:r>
        <w:rPr>
          <w:rFonts w:ascii="Times New Roman" w:hAnsi="Times New Roman" w:cs="Times New Roman"/>
          <w:color w:val="000000" w:themeColor="text1"/>
        </w:rPr>
        <w:fldChar w:fldCharType="separate"/>
      </w:r>
      <w:r w:rsidR="0012106B" w:rsidRPr="0012106B">
        <w:rPr>
          <w:rFonts w:ascii="Times New Roman" w:hAnsi="Times New Roman" w:cs="Times New Roman"/>
          <w:noProof/>
          <w:szCs w:val="24"/>
        </w:rPr>
        <w:t xml:space="preserve">1. </w:t>
      </w:r>
      <w:r w:rsidR="0012106B" w:rsidRPr="0012106B">
        <w:rPr>
          <w:rFonts w:ascii="Times New Roman" w:hAnsi="Times New Roman" w:cs="Times New Roman"/>
          <w:noProof/>
          <w:szCs w:val="24"/>
        </w:rPr>
        <w:tab/>
        <w:t>Shelley Riphagen, Xabier Gomez, Carmen Gonzalez-Martinez, Nick Wilkinson PT. Hyperinflammatory shock in children during COVID-19 pandemic. Lancet [Internet]. 2020;Vol 395(January):1607. Available from: https://doi.org/10.1016/ S0140-6736(20)31094-1%0AAge;</w:t>
      </w:r>
    </w:p>
    <w:p w:rsidR="0012106B" w:rsidRPr="0012106B" w:rsidRDefault="0012106B" w:rsidP="00203F5B">
      <w:pPr>
        <w:widowControl w:val="0"/>
        <w:autoSpaceDE w:val="0"/>
        <w:autoSpaceDN w:val="0"/>
        <w:adjustRightInd w:val="0"/>
        <w:spacing w:line="480" w:lineRule="auto"/>
        <w:ind w:left="640" w:hanging="640"/>
        <w:rPr>
          <w:rFonts w:ascii="Times New Roman" w:hAnsi="Times New Roman" w:cs="Times New Roman"/>
          <w:noProof/>
          <w:szCs w:val="24"/>
        </w:rPr>
      </w:pPr>
      <w:r w:rsidRPr="0012106B">
        <w:rPr>
          <w:rFonts w:ascii="Times New Roman" w:hAnsi="Times New Roman" w:cs="Times New Roman"/>
          <w:noProof/>
          <w:szCs w:val="24"/>
        </w:rPr>
        <w:t xml:space="preserve">2. </w:t>
      </w:r>
      <w:r w:rsidRPr="0012106B">
        <w:rPr>
          <w:rFonts w:ascii="Times New Roman" w:hAnsi="Times New Roman" w:cs="Times New Roman"/>
          <w:noProof/>
          <w:szCs w:val="24"/>
        </w:rPr>
        <w:tab/>
        <w:t xml:space="preserve">Heald RC of P and C. Guidance paediatric multisystem inflammatory syndrome temporallly </w:t>
      </w:r>
      <w:r w:rsidRPr="0012106B">
        <w:rPr>
          <w:rFonts w:ascii="Times New Roman" w:hAnsi="Times New Roman" w:cs="Times New Roman"/>
          <w:noProof/>
          <w:szCs w:val="24"/>
        </w:rPr>
        <w:lastRenderedPageBreak/>
        <w:t>associated with Cov-19. R Coll Paediatr Child Heal [Internet]. 2020;1–6. Available from: https://www.rcpch.ac.uk/resources/guidance-paediatric-multisystem-inflammatory-syndrome-temporally-associated-covid-19</w:t>
      </w:r>
    </w:p>
    <w:p w:rsidR="0012106B" w:rsidRPr="0012106B" w:rsidRDefault="0012106B" w:rsidP="00203F5B">
      <w:pPr>
        <w:widowControl w:val="0"/>
        <w:autoSpaceDE w:val="0"/>
        <w:autoSpaceDN w:val="0"/>
        <w:adjustRightInd w:val="0"/>
        <w:spacing w:line="480" w:lineRule="auto"/>
        <w:ind w:left="640" w:hanging="640"/>
        <w:rPr>
          <w:rFonts w:ascii="Times New Roman" w:hAnsi="Times New Roman" w:cs="Times New Roman"/>
          <w:noProof/>
        </w:rPr>
      </w:pPr>
      <w:r w:rsidRPr="0012106B">
        <w:rPr>
          <w:rFonts w:ascii="Times New Roman" w:hAnsi="Times New Roman" w:cs="Times New Roman"/>
          <w:noProof/>
          <w:szCs w:val="24"/>
        </w:rPr>
        <w:t xml:space="preserve">3. </w:t>
      </w:r>
      <w:r w:rsidRPr="0012106B">
        <w:rPr>
          <w:rFonts w:ascii="Times New Roman" w:hAnsi="Times New Roman" w:cs="Times New Roman"/>
          <w:noProof/>
          <w:szCs w:val="24"/>
        </w:rPr>
        <w:tab/>
        <w:t>McCrindle BW, Rowley AH, Newburger JW, Burns JC, Bolger AF, Gewitz M, et al. Diagnosis, treatment, and long-term management of Kawasaki disease: A scientific statement for health professionals from the American Heart Association. Circulation [Internet]. 2017 Apr 25 [cited 2020 Jun 26];135(17):e927–99. Available from: https://www.ahajournals.org/doi/abs/10.1161/CIR.0000000000000484</w:t>
      </w:r>
    </w:p>
    <w:p w:rsidR="00AE4BDC" w:rsidRPr="007E39E8" w:rsidRDefault="001F58C7" w:rsidP="00203F5B">
      <w:pPr>
        <w:widowControl w:val="0"/>
        <w:autoSpaceDE w:val="0"/>
        <w:autoSpaceDN w:val="0"/>
        <w:adjustRightInd w:val="0"/>
        <w:spacing w:line="480" w:lineRule="auto"/>
        <w:ind w:left="640" w:hanging="640"/>
        <w:rPr>
          <w:rFonts w:ascii="Times New Roman" w:hAnsi="Times New Roman" w:cs="Times New Roman"/>
          <w:color w:val="000000" w:themeColor="text1"/>
        </w:rPr>
      </w:pPr>
      <w:r>
        <w:rPr>
          <w:rFonts w:ascii="Times New Roman" w:hAnsi="Times New Roman" w:cs="Times New Roman"/>
          <w:color w:val="000000" w:themeColor="text1"/>
        </w:rPr>
        <w:fldChar w:fldCharType="end"/>
      </w:r>
    </w:p>
    <w:p w:rsidR="00C31198" w:rsidRPr="007E39E8" w:rsidRDefault="00C31198"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Pr="007E39E8" w:rsidRDefault="00C31198" w:rsidP="00203F5B">
      <w:pPr>
        <w:spacing w:line="480" w:lineRule="auto"/>
        <w:rPr>
          <w:rFonts w:ascii="Times New Roman" w:hAnsi="Times New Roman" w:cs="Times New Roman"/>
          <w:color w:val="000000" w:themeColor="text1"/>
        </w:rPr>
      </w:pPr>
    </w:p>
    <w:p w:rsidR="00C31198" w:rsidRDefault="00C31198"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p w:rsidR="0077045B" w:rsidRDefault="0077045B" w:rsidP="00203F5B">
      <w:pPr>
        <w:spacing w:line="480" w:lineRule="auto"/>
        <w:rPr>
          <w:rFonts w:ascii="Times New Roman" w:hAnsi="Times New Roman" w:cs="Times New Roman"/>
          <w:color w:val="000000" w:themeColor="text1"/>
        </w:rPr>
      </w:pPr>
    </w:p>
    <w:sectPr w:rsidR="0077045B" w:rsidSect="008E29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uardianSansGR-Regular">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42F4C"/>
    <w:multiLevelType w:val="multilevel"/>
    <w:tmpl w:val="49D2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48581B"/>
    <w:multiLevelType w:val="hybridMultilevel"/>
    <w:tmpl w:val="FAC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156EB"/>
    <w:multiLevelType w:val="hybridMultilevel"/>
    <w:tmpl w:val="61C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71FD8"/>
    <w:rsid w:val="00016F18"/>
    <w:rsid w:val="000601DB"/>
    <w:rsid w:val="000A0B78"/>
    <w:rsid w:val="000A3E59"/>
    <w:rsid w:val="0012106B"/>
    <w:rsid w:val="00147D9E"/>
    <w:rsid w:val="001870C2"/>
    <w:rsid w:val="00187CE2"/>
    <w:rsid w:val="001A2C89"/>
    <w:rsid w:val="001F58C7"/>
    <w:rsid w:val="00203F5B"/>
    <w:rsid w:val="00226293"/>
    <w:rsid w:val="00287C8E"/>
    <w:rsid w:val="002C1921"/>
    <w:rsid w:val="002F431D"/>
    <w:rsid w:val="00303AB7"/>
    <w:rsid w:val="00343650"/>
    <w:rsid w:val="00377E6E"/>
    <w:rsid w:val="003A379D"/>
    <w:rsid w:val="003B3683"/>
    <w:rsid w:val="00423E3A"/>
    <w:rsid w:val="004E345B"/>
    <w:rsid w:val="00557CA3"/>
    <w:rsid w:val="00561EFD"/>
    <w:rsid w:val="00591A71"/>
    <w:rsid w:val="00593741"/>
    <w:rsid w:val="00600A78"/>
    <w:rsid w:val="00672964"/>
    <w:rsid w:val="006E6D57"/>
    <w:rsid w:val="007036ED"/>
    <w:rsid w:val="007508D1"/>
    <w:rsid w:val="0077045B"/>
    <w:rsid w:val="00777425"/>
    <w:rsid w:val="0078687F"/>
    <w:rsid w:val="007B7DAA"/>
    <w:rsid w:val="007E39E8"/>
    <w:rsid w:val="008E29CD"/>
    <w:rsid w:val="009D7753"/>
    <w:rsid w:val="009F1782"/>
    <w:rsid w:val="009F2AF5"/>
    <w:rsid w:val="00A1225C"/>
    <w:rsid w:val="00A35F0D"/>
    <w:rsid w:val="00A53C7D"/>
    <w:rsid w:val="00A55AC9"/>
    <w:rsid w:val="00AA4800"/>
    <w:rsid w:val="00AD74C8"/>
    <w:rsid w:val="00AE4BDC"/>
    <w:rsid w:val="00B12AB0"/>
    <w:rsid w:val="00B2445A"/>
    <w:rsid w:val="00B42239"/>
    <w:rsid w:val="00C31198"/>
    <w:rsid w:val="00C3668F"/>
    <w:rsid w:val="00CB556F"/>
    <w:rsid w:val="00CC635E"/>
    <w:rsid w:val="00D04438"/>
    <w:rsid w:val="00D459E1"/>
    <w:rsid w:val="00D74984"/>
    <w:rsid w:val="00D87990"/>
    <w:rsid w:val="00DD6B09"/>
    <w:rsid w:val="00E35FE8"/>
    <w:rsid w:val="00E52A13"/>
    <w:rsid w:val="00EA0B59"/>
    <w:rsid w:val="00F71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9CD"/>
  </w:style>
  <w:style w:type="paragraph" w:styleId="Heading2">
    <w:name w:val="heading 2"/>
    <w:basedOn w:val="Normal"/>
    <w:next w:val="Normal"/>
    <w:link w:val="Heading2Char"/>
    <w:uiPriority w:val="9"/>
    <w:semiHidden/>
    <w:unhideWhenUsed/>
    <w:qFormat/>
    <w:rsid w:val="007B7D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91A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FD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7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CA3"/>
    <w:rPr>
      <w:rFonts w:ascii="Tahoma" w:hAnsi="Tahoma" w:cs="Tahoma"/>
      <w:sz w:val="16"/>
      <w:szCs w:val="16"/>
    </w:rPr>
  </w:style>
  <w:style w:type="paragraph" w:styleId="ListParagraph">
    <w:name w:val="List Paragraph"/>
    <w:basedOn w:val="Normal"/>
    <w:uiPriority w:val="34"/>
    <w:qFormat/>
    <w:rsid w:val="00B12AB0"/>
    <w:pPr>
      <w:ind w:left="720"/>
      <w:contextualSpacing/>
    </w:pPr>
  </w:style>
  <w:style w:type="character" w:customStyle="1" w:styleId="Heading3Char">
    <w:name w:val="Heading 3 Char"/>
    <w:basedOn w:val="DefaultParagraphFont"/>
    <w:link w:val="Heading3"/>
    <w:uiPriority w:val="9"/>
    <w:rsid w:val="00591A71"/>
    <w:rPr>
      <w:rFonts w:ascii="Times New Roman" w:eastAsia="Times New Roman" w:hAnsi="Times New Roman" w:cs="Times New Roman"/>
      <w:b/>
      <w:bCs/>
      <w:sz w:val="27"/>
      <w:szCs w:val="27"/>
    </w:rPr>
  </w:style>
  <w:style w:type="character" w:styleId="Strong">
    <w:name w:val="Strong"/>
    <w:basedOn w:val="DefaultParagraphFont"/>
    <w:uiPriority w:val="22"/>
    <w:qFormat/>
    <w:rsid w:val="00591A71"/>
    <w:rPr>
      <w:b/>
      <w:bCs/>
    </w:rPr>
  </w:style>
  <w:style w:type="character" w:styleId="Emphasis">
    <w:name w:val="Emphasis"/>
    <w:basedOn w:val="DefaultParagraphFont"/>
    <w:uiPriority w:val="20"/>
    <w:qFormat/>
    <w:rsid w:val="00591A71"/>
    <w:rPr>
      <w:i/>
      <w:iCs/>
    </w:rPr>
  </w:style>
  <w:style w:type="paragraph" w:customStyle="1" w:styleId="Default">
    <w:name w:val="Default"/>
    <w:rsid w:val="002F431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2F431D"/>
    <w:rPr>
      <w:rFonts w:cs="Times New Roman"/>
      <w:color w:val="auto"/>
    </w:rPr>
  </w:style>
  <w:style w:type="character" w:customStyle="1" w:styleId="Heading2Char">
    <w:name w:val="Heading 2 Char"/>
    <w:basedOn w:val="DefaultParagraphFont"/>
    <w:link w:val="Heading2"/>
    <w:uiPriority w:val="9"/>
    <w:semiHidden/>
    <w:rsid w:val="007B7DA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08007418">
      <w:bodyDiv w:val="1"/>
      <w:marLeft w:val="0"/>
      <w:marRight w:val="0"/>
      <w:marTop w:val="0"/>
      <w:marBottom w:val="0"/>
      <w:divBdr>
        <w:top w:val="none" w:sz="0" w:space="0" w:color="auto"/>
        <w:left w:val="none" w:sz="0" w:space="0" w:color="auto"/>
        <w:bottom w:val="none" w:sz="0" w:space="0" w:color="auto"/>
        <w:right w:val="none" w:sz="0" w:space="0" w:color="auto"/>
      </w:divBdr>
    </w:div>
    <w:div w:id="1369062821">
      <w:bodyDiv w:val="1"/>
      <w:marLeft w:val="0"/>
      <w:marRight w:val="0"/>
      <w:marTop w:val="0"/>
      <w:marBottom w:val="0"/>
      <w:divBdr>
        <w:top w:val="none" w:sz="0" w:space="0" w:color="auto"/>
        <w:left w:val="none" w:sz="0" w:space="0" w:color="auto"/>
        <w:bottom w:val="none" w:sz="0" w:space="0" w:color="auto"/>
        <w:right w:val="none" w:sz="0" w:space="0" w:color="auto"/>
      </w:divBdr>
    </w:div>
    <w:div w:id="1712152405">
      <w:bodyDiv w:val="1"/>
      <w:marLeft w:val="0"/>
      <w:marRight w:val="0"/>
      <w:marTop w:val="0"/>
      <w:marBottom w:val="0"/>
      <w:divBdr>
        <w:top w:val="none" w:sz="0" w:space="0" w:color="auto"/>
        <w:left w:val="none" w:sz="0" w:space="0" w:color="auto"/>
        <w:bottom w:val="none" w:sz="0" w:space="0" w:color="auto"/>
        <w:right w:val="none" w:sz="0" w:space="0" w:color="auto"/>
      </w:divBdr>
    </w:div>
    <w:div w:id="2076856380">
      <w:bodyDiv w:val="1"/>
      <w:marLeft w:val="0"/>
      <w:marRight w:val="0"/>
      <w:marTop w:val="0"/>
      <w:marBottom w:val="0"/>
      <w:divBdr>
        <w:top w:val="none" w:sz="0" w:space="0" w:color="auto"/>
        <w:left w:val="none" w:sz="0" w:space="0" w:color="auto"/>
        <w:bottom w:val="none" w:sz="0" w:space="0" w:color="auto"/>
        <w:right w:val="none" w:sz="0" w:space="0" w:color="auto"/>
      </w:divBdr>
      <w:divsChild>
        <w:div w:id="1526794537">
          <w:marLeft w:val="0"/>
          <w:marRight w:val="0"/>
          <w:marTop w:val="0"/>
          <w:marBottom w:val="0"/>
          <w:divBdr>
            <w:top w:val="none" w:sz="0" w:space="0" w:color="auto"/>
            <w:left w:val="none" w:sz="0" w:space="0" w:color="auto"/>
            <w:bottom w:val="none" w:sz="0" w:space="0" w:color="auto"/>
            <w:right w:val="none" w:sz="0" w:space="0" w:color="auto"/>
          </w:divBdr>
        </w:div>
        <w:div w:id="1677028617">
          <w:marLeft w:val="0"/>
          <w:marRight w:val="0"/>
          <w:marTop w:val="0"/>
          <w:marBottom w:val="0"/>
          <w:divBdr>
            <w:top w:val="none" w:sz="0" w:space="0" w:color="auto"/>
            <w:left w:val="none" w:sz="0" w:space="0" w:color="auto"/>
            <w:bottom w:val="none" w:sz="0" w:space="0" w:color="auto"/>
            <w:right w:val="none" w:sz="0" w:space="0" w:color="auto"/>
          </w:divBdr>
        </w:div>
        <w:div w:id="561019699">
          <w:marLeft w:val="0"/>
          <w:marRight w:val="0"/>
          <w:marTop w:val="0"/>
          <w:marBottom w:val="0"/>
          <w:divBdr>
            <w:top w:val="none" w:sz="0" w:space="0" w:color="auto"/>
            <w:left w:val="none" w:sz="0" w:space="0" w:color="auto"/>
            <w:bottom w:val="none" w:sz="0" w:space="0" w:color="auto"/>
            <w:right w:val="none" w:sz="0" w:space="0" w:color="auto"/>
          </w:divBdr>
        </w:div>
        <w:div w:id="220413132">
          <w:marLeft w:val="0"/>
          <w:marRight w:val="0"/>
          <w:marTop w:val="0"/>
          <w:marBottom w:val="0"/>
          <w:divBdr>
            <w:top w:val="none" w:sz="0" w:space="0" w:color="auto"/>
            <w:left w:val="none" w:sz="0" w:space="0" w:color="auto"/>
            <w:bottom w:val="none" w:sz="0" w:space="0" w:color="auto"/>
            <w:right w:val="none" w:sz="0" w:space="0" w:color="auto"/>
          </w:divBdr>
        </w:div>
        <w:div w:id="179813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06C4B-8131-40DF-BC8E-3B5F5B6D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2020-07-20T16:01:00Z</dcterms:created>
  <dcterms:modified xsi:type="dcterms:W3CDTF">2021-03-27T20:32:00Z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45e5d47b-bddb-3741-8ecf-e4c9ad478125</vt:lpwstr>
  </property>
  <property fmtid="{D5CDD505-2E9C-101B-9397-08002B2CF9AE}" pid="24" name="Mendeley Citation Style_1">
    <vt:lpwstr>http://www.zotero.org/styles/vancouver</vt:lpwstr>
  </property>
</Properties>
</file>