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F339" w14:textId="49FD1D40" w:rsidR="00373E45" w:rsidRDefault="00373E45" w:rsidP="00373E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01">
        <w:rPr>
          <w:rFonts w:ascii="Times New Roman" w:hAnsi="Times New Roman" w:cs="Times New Roman"/>
          <w:b/>
          <w:sz w:val="28"/>
          <w:szCs w:val="28"/>
        </w:rPr>
        <w:t>Supporting Information:</w:t>
      </w:r>
    </w:p>
    <w:p w14:paraId="1EC4ECDD" w14:textId="77777777" w:rsidR="005C3874" w:rsidRPr="007723CF" w:rsidRDefault="005C3874" w:rsidP="005C387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42F3">
        <w:rPr>
          <w:rFonts w:ascii="Times New Roman" w:hAnsi="Times New Roman" w:cs="Times New Roman"/>
          <w:b/>
          <w:sz w:val="32"/>
          <w:szCs w:val="32"/>
        </w:rPr>
        <w:t xml:space="preserve">Optimization of </w:t>
      </w:r>
      <w:proofErr w:type="spellStart"/>
      <w:r w:rsidRPr="00F042F3">
        <w:rPr>
          <w:rFonts w:ascii="Times New Roman" w:hAnsi="Times New Roman" w:cs="Times New Roman"/>
          <w:b/>
          <w:sz w:val="32"/>
          <w:szCs w:val="32"/>
        </w:rPr>
        <w:t>physico</w:t>
      </w:r>
      <w:proofErr w:type="spellEnd"/>
      <w:r w:rsidRPr="00F042F3">
        <w:rPr>
          <w:rFonts w:ascii="Times New Roman" w:hAnsi="Times New Roman" w:cs="Times New Roman"/>
          <w:b/>
          <w:sz w:val="32"/>
          <w:szCs w:val="32"/>
        </w:rPr>
        <w:t xml:space="preserve">-chemical parameters for production of cytotoxic secondary metabolites </w:t>
      </w:r>
      <w:r w:rsidRPr="007723CF">
        <w:rPr>
          <w:rFonts w:ascii="Times New Roman" w:hAnsi="Times New Roman" w:cs="Times New Roman"/>
          <w:b/>
          <w:sz w:val="32"/>
          <w:szCs w:val="32"/>
        </w:rPr>
        <w:t xml:space="preserve">and apoptosis induction activities in the culture extract of a marine algal-derived endophytic fungus </w:t>
      </w:r>
      <w:r w:rsidRPr="007723CF">
        <w:rPr>
          <w:rFonts w:ascii="Times New Roman" w:hAnsi="Times New Roman" w:cs="Times New Roman"/>
          <w:b/>
          <w:i/>
          <w:iCs/>
          <w:sz w:val="32"/>
          <w:szCs w:val="32"/>
        </w:rPr>
        <w:t>Aspergillus</w:t>
      </w:r>
      <w:r w:rsidRPr="007723CF">
        <w:rPr>
          <w:rFonts w:ascii="Times New Roman" w:hAnsi="Times New Roman" w:cs="Times New Roman"/>
          <w:b/>
          <w:sz w:val="32"/>
          <w:szCs w:val="32"/>
        </w:rPr>
        <w:t xml:space="preserve"> sp. </w:t>
      </w:r>
    </w:p>
    <w:p w14:paraId="03BF9D5A" w14:textId="77777777" w:rsidR="005C3874" w:rsidRPr="007723CF" w:rsidRDefault="005C3874" w:rsidP="005C38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2F88">
        <w:rPr>
          <w:rFonts w:ascii="Times New Roman" w:hAnsi="Times New Roman" w:cs="Times New Roman"/>
          <w:b/>
          <w:noProof/>
          <w:sz w:val="24"/>
          <w:szCs w:val="24"/>
        </w:rPr>
        <w:t>Sidhartha</w:t>
      </w:r>
      <w:r w:rsidRPr="007723CF">
        <w:rPr>
          <w:rFonts w:ascii="Times New Roman" w:hAnsi="Times New Roman" w:cs="Times New Roman"/>
          <w:b/>
          <w:sz w:val="24"/>
          <w:szCs w:val="24"/>
        </w:rPr>
        <w:t xml:space="preserve"> Taritla,</w:t>
      </w:r>
      <w:r w:rsidRPr="007723C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72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3CF">
        <w:rPr>
          <w:rFonts w:ascii="Times New Roman" w:hAnsi="Times New Roman" w:cs="Times New Roman"/>
          <w:b/>
          <w:sz w:val="24"/>
          <w:szCs w:val="24"/>
        </w:rPr>
        <w:t>Madhuree</w:t>
      </w:r>
      <w:proofErr w:type="spellEnd"/>
      <w:r w:rsidRPr="007723CF">
        <w:rPr>
          <w:rFonts w:ascii="Times New Roman" w:hAnsi="Times New Roman" w:cs="Times New Roman"/>
          <w:b/>
          <w:sz w:val="24"/>
          <w:szCs w:val="24"/>
        </w:rPr>
        <w:t xml:space="preserve"> Kumari,</w:t>
      </w:r>
      <w:r w:rsidRPr="007723C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72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3CF">
        <w:rPr>
          <w:rFonts w:ascii="Times New Roman" w:hAnsi="Times New Roman" w:cs="Times New Roman"/>
          <w:b/>
          <w:sz w:val="24"/>
          <w:szCs w:val="24"/>
        </w:rPr>
        <w:t>Siya</w:t>
      </w:r>
      <w:proofErr w:type="spellEnd"/>
      <w:r w:rsidRPr="007723CF">
        <w:rPr>
          <w:rFonts w:ascii="Times New Roman" w:hAnsi="Times New Roman" w:cs="Times New Roman"/>
          <w:b/>
          <w:sz w:val="24"/>
          <w:szCs w:val="24"/>
        </w:rPr>
        <w:t xml:space="preserve"> Kamat,</w:t>
      </w:r>
      <w:r w:rsidRPr="007723C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772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Sarita G. Bhat,</w:t>
      </w:r>
      <w:r w:rsidRPr="007723CF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772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C. Jayabaskaran</w:t>
      </w:r>
      <w:r w:rsidRPr="007723C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723CF">
        <w:rPr>
          <w:rFonts w:ascii="Times New Roman" w:hAnsi="Times New Roman" w:cs="Times New Roman"/>
          <w:b/>
          <w:sz w:val="24"/>
          <w:szCs w:val="24"/>
        </w:rPr>
        <w:t>*</w:t>
      </w:r>
    </w:p>
    <w:p w14:paraId="6904289C" w14:textId="77777777" w:rsidR="005C3874" w:rsidRPr="007723CF" w:rsidRDefault="005C3874" w:rsidP="005C3874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3C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723CF">
        <w:rPr>
          <w:rFonts w:ascii="Times New Roman" w:hAnsi="Times New Roman" w:cs="Times New Roman"/>
          <w:i/>
          <w:sz w:val="24"/>
          <w:szCs w:val="24"/>
        </w:rPr>
        <w:t>Department of Biochemistry, Indian Institute of Science, Bangalore-560012, India</w:t>
      </w:r>
    </w:p>
    <w:p w14:paraId="5F96DB3C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23C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2</w:t>
      </w:r>
      <w:r w:rsidRPr="007723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Department of Biotechnology, Cochin University of Science and Technology, Kochi, Kerala 682022, India </w:t>
      </w:r>
    </w:p>
    <w:p w14:paraId="39658296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F7CA7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DC313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1706B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27B68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52A03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977C7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4DA19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FAB88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42798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FCBFC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158B8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539FA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DE8F7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F079A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35771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E623F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BB659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F354C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C6A98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215B8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CF">
        <w:rPr>
          <w:rFonts w:ascii="Times New Roman" w:hAnsi="Times New Roman" w:cs="Times New Roman"/>
          <w:b/>
          <w:sz w:val="24"/>
          <w:szCs w:val="24"/>
        </w:rPr>
        <w:t xml:space="preserve">*Corresponding author: </w:t>
      </w:r>
    </w:p>
    <w:p w14:paraId="3C581F24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CF">
        <w:rPr>
          <w:rFonts w:ascii="Times New Roman" w:hAnsi="Times New Roman" w:cs="Times New Roman"/>
          <w:sz w:val="24"/>
          <w:szCs w:val="24"/>
        </w:rPr>
        <w:t xml:space="preserve">Prof. C. </w:t>
      </w:r>
      <w:proofErr w:type="spellStart"/>
      <w:r w:rsidRPr="007723CF">
        <w:rPr>
          <w:rFonts w:ascii="Times New Roman" w:hAnsi="Times New Roman" w:cs="Times New Roman"/>
          <w:sz w:val="24"/>
          <w:szCs w:val="24"/>
        </w:rPr>
        <w:t>Jayabaskaran</w:t>
      </w:r>
      <w:proofErr w:type="spellEnd"/>
      <w:r w:rsidRPr="007723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AF861E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CF">
        <w:rPr>
          <w:rFonts w:ascii="Times New Roman" w:hAnsi="Times New Roman" w:cs="Times New Roman"/>
          <w:sz w:val="24"/>
          <w:szCs w:val="24"/>
        </w:rPr>
        <w:t xml:space="preserve">Department of Biochemistry, </w:t>
      </w:r>
    </w:p>
    <w:p w14:paraId="37B8DECD" w14:textId="77777777" w:rsidR="005C3874" w:rsidRPr="007723CF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CF">
        <w:rPr>
          <w:rFonts w:ascii="Times New Roman" w:hAnsi="Times New Roman" w:cs="Times New Roman"/>
          <w:sz w:val="24"/>
          <w:szCs w:val="24"/>
        </w:rPr>
        <w:t xml:space="preserve">Indian Institute of Science, Bangalore-560012, </w:t>
      </w:r>
    </w:p>
    <w:p w14:paraId="4A483743" w14:textId="77777777" w:rsidR="005C3874" w:rsidRPr="00365F61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F61">
        <w:rPr>
          <w:rFonts w:ascii="Times New Roman" w:hAnsi="Times New Roman" w:cs="Times New Roman"/>
          <w:sz w:val="24"/>
          <w:szCs w:val="24"/>
          <w:lang w:val="it-IT"/>
        </w:rPr>
        <w:t xml:space="preserve">India, </w:t>
      </w:r>
    </w:p>
    <w:p w14:paraId="4F7CE88B" w14:textId="77777777" w:rsidR="005C3874" w:rsidRPr="00365F61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5F20939" w14:textId="77777777" w:rsidR="005C3874" w:rsidRPr="00365F61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F61">
        <w:rPr>
          <w:rFonts w:ascii="Times New Roman" w:hAnsi="Times New Roman" w:cs="Times New Roman"/>
          <w:sz w:val="24"/>
          <w:szCs w:val="24"/>
          <w:lang w:val="it-IT"/>
        </w:rPr>
        <w:t xml:space="preserve">Tel: +91-80-22932482; Fax: +91-80-23600814; </w:t>
      </w:r>
    </w:p>
    <w:p w14:paraId="31587253" w14:textId="77777777" w:rsidR="005C3874" w:rsidRPr="00365F61" w:rsidRDefault="005C3874" w:rsidP="005C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F61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072124">
        <w:fldChar w:fldCharType="begin"/>
      </w:r>
      <w:r w:rsidR="00072124" w:rsidRPr="00365F61">
        <w:rPr>
          <w:lang w:val="it-IT"/>
        </w:rPr>
        <w:instrText xml:space="preserve"> HYPERLINK "mailto:cjb@iisc.ac.in" </w:instrText>
      </w:r>
      <w:r w:rsidR="00072124">
        <w:fldChar w:fldCharType="separate"/>
      </w:r>
      <w:r w:rsidRPr="00365F61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cjb@iisc.ac.in</w:t>
      </w:r>
      <w:r w:rsidR="0007212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2926B0D9" w14:textId="77777777" w:rsidR="005C3874" w:rsidRPr="00365F61" w:rsidRDefault="005C3874" w:rsidP="005C38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E580089" w14:textId="77777777" w:rsidR="005C3874" w:rsidRPr="00365F61" w:rsidRDefault="005C3874" w:rsidP="00373E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4829F8" w14:textId="77777777" w:rsidR="00373E45" w:rsidRPr="009F5F01" w:rsidRDefault="00373E45" w:rsidP="00373E45">
      <w:pPr>
        <w:rPr>
          <w:rFonts w:ascii="Times New Roman" w:hAnsi="Times New Roman" w:cs="Times New Roman"/>
          <w:b/>
          <w:sz w:val="24"/>
          <w:szCs w:val="24"/>
        </w:rPr>
      </w:pPr>
      <w:r w:rsidRPr="009F5F01">
        <w:rPr>
          <w:rFonts w:ascii="Times New Roman" w:hAnsi="Times New Roman" w:cs="Times New Roman"/>
          <w:b/>
          <w:sz w:val="24"/>
          <w:szCs w:val="24"/>
        </w:rPr>
        <w:t>Table S1: Different media used for the optimization of fungal anticancer secondary metabolites production</w:t>
      </w:r>
    </w:p>
    <w:p w14:paraId="2D7EE231" w14:textId="77777777" w:rsidR="00373E45" w:rsidRPr="009F5F01" w:rsidRDefault="00373E45" w:rsidP="00373E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768"/>
      </w:tblGrid>
      <w:tr w:rsidR="00373E45" w:rsidRPr="009F5F01" w14:paraId="7D7FCB8D" w14:textId="77777777" w:rsidTr="00437E63">
        <w:tc>
          <w:tcPr>
            <w:tcW w:w="3397" w:type="dxa"/>
          </w:tcPr>
          <w:p w14:paraId="77B83622" w14:textId="77777777" w:rsidR="00373E45" w:rsidRPr="009F5F01" w:rsidRDefault="00373E45" w:rsidP="00437E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Liquid Media</w:t>
            </w:r>
          </w:p>
        </w:tc>
        <w:tc>
          <w:tcPr>
            <w:tcW w:w="851" w:type="dxa"/>
          </w:tcPr>
          <w:p w14:paraId="7101A95D" w14:textId="77777777" w:rsidR="00373E45" w:rsidRPr="009F5F01" w:rsidRDefault="00373E45" w:rsidP="00437E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4768" w:type="dxa"/>
          </w:tcPr>
          <w:p w14:paraId="67CB4E18" w14:textId="77777777" w:rsidR="00373E45" w:rsidRPr="009F5F01" w:rsidRDefault="00373E45" w:rsidP="00437E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Composition (g/L)</w:t>
            </w:r>
          </w:p>
        </w:tc>
      </w:tr>
      <w:tr w:rsidR="00373E45" w:rsidRPr="00365F61" w14:paraId="26670EFD" w14:textId="77777777" w:rsidTr="00437E63">
        <w:tc>
          <w:tcPr>
            <w:tcW w:w="3397" w:type="dxa"/>
          </w:tcPr>
          <w:p w14:paraId="2AB0E273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Gauce</w:t>
            </w:r>
            <w:proofErr w:type="spellEnd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medium</w:t>
            </w:r>
          </w:p>
        </w:tc>
        <w:tc>
          <w:tcPr>
            <w:tcW w:w="851" w:type="dxa"/>
          </w:tcPr>
          <w:p w14:paraId="5EEC23ED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768" w:type="dxa"/>
          </w:tcPr>
          <w:p w14:paraId="242B263F" w14:textId="77777777" w:rsidR="00373E45" w:rsidRPr="00365F6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Soluble starch 20; NaCl 0.5; KNO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3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1; K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HPO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.3H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0.5; MgSO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.7H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0.5; FeSO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.7H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0.01</w:t>
            </w:r>
          </w:p>
        </w:tc>
      </w:tr>
      <w:tr w:rsidR="00373E45" w:rsidRPr="009F5F01" w14:paraId="7C04F694" w14:textId="77777777" w:rsidTr="00437E63">
        <w:tc>
          <w:tcPr>
            <w:tcW w:w="3397" w:type="dxa"/>
          </w:tcPr>
          <w:p w14:paraId="5AB6BA0E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Malt Extract Broth (MEB)</w:t>
            </w:r>
          </w:p>
        </w:tc>
        <w:tc>
          <w:tcPr>
            <w:tcW w:w="851" w:type="dxa"/>
          </w:tcPr>
          <w:p w14:paraId="2F0C8321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4768" w:type="dxa"/>
          </w:tcPr>
          <w:p w14:paraId="0E0F4CE0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Malt extract 20; Glucose 20; Peptone 1</w:t>
            </w:r>
          </w:p>
        </w:tc>
      </w:tr>
      <w:tr w:rsidR="00373E45" w:rsidRPr="009F5F01" w14:paraId="513B8FAF" w14:textId="77777777" w:rsidTr="00437E63">
        <w:tc>
          <w:tcPr>
            <w:tcW w:w="3397" w:type="dxa"/>
          </w:tcPr>
          <w:p w14:paraId="6574775C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Potato Dextrose Broth (PDB)</w:t>
            </w:r>
          </w:p>
        </w:tc>
        <w:tc>
          <w:tcPr>
            <w:tcW w:w="851" w:type="dxa"/>
          </w:tcPr>
          <w:p w14:paraId="4013FE55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768" w:type="dxa"/>
          </w:tcPr>
          <w:p w14:paraId="5A10CAA9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Potato infusion 4; Dextrose 20</w:t>
            </w:r>
          </w:p>
        </w:tc>
      </w:tr>
      <w:tr w:rsidR="00373E45" w:rsidRPr="009F5F01" w14:paraId="35DD4EC5" w14:textId="77777777" w:rsidTr="00437E63">
        <w:tc>
          <w:tcPr>
            <w:tcW w:w="3397" w:type="dxa"/>
          </w:tcPr>
          <w:p w14:paraId="750401B1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Sabourard</w:t>
            </w:r>
            <w:proofErr w:type="spellEnd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Broth (SDB)</w:t>
            </w:r>
          </w:p>
        </w:tc>
        <w:tc>
          <w:tcPr>
            <w:tcW w:w="851" w:type="dxa"/>
          </w:tcPr>
          <w:p w14:paraId="35C1CA54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768" w:type="dxa"/>
          </w:tcPr>
          <w:p w14:paraId="667BC910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Tryptone 10; Glucose 40</w:t>
            </w:r>
          </w:p>
        </w:tc>
      </w:tr>
      <w:tr w:rsidR="00373E45" w:rsidRPr="009F5F01" w14:paraId="2FCA1EDA" w14:textId="77777777" w:rsidTr="00437E63">
        <w:tc>
          <w:tcPr>
            <w:tcW w:w="3397" w:type="dxa"/>
          </w:tcPr>
          <w:p w14:paraId="06239AE2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Yeast Malt Extract Broth (YME)</w:t>
            </w:r>
          </w:p>
        </w:tc>
        <w:tc>
          <w:tcPr>
            <w:tcW w:w="851" w:type="dxa"/>
          </w:tcPr>
          <w:p w14:paraId="1EF9963D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768" w:type="dxa"/>
          </w:tcPr>
          <w:p w14:paraId="6805563C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Malt extract 10; yeast extract 4; MgSO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0.5; KH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</w:tr>
      <w:tr w:rsidR="00373E45" w:rsidRPr="009F5F01" w14:paraId="702C0828" w14:textId="77777777" w:rsidTr="00437E63">
        <w:tc>
          <w:tcPr>
            <w:tcW w:w="3397" w:type="dxa"/>
          </w:tcPr>
          <w:p w14:paraId="780E6FFA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Yeast Extract Phosphate Broth (YEP)</w:t>
            </w:r>
          </w:p>
        </w:tc>
        <w:tc>
          <w:tcPr>
            <w:tcW w:w="851" w:type="dxa"/>
          </w:tcPr>
          <w:p w14:paraId="5CEAC168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768" w:type="dxa"/>
          </w:tcPr>
          <w:p w14:paraId="350A88BA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Yeast extract 1; KH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6; NaH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4; NH</w:t>
            </w:r>
            <w:r w:rsidRPr="009F5F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OH 1</w:t>
            </w:r>
          </w:p>
        </w:tc>
      </w:tr>
      <w:tr w:rsidR="00373E45" w:rsidRPr="00365F61" w14:paraId="63F7BAF5" w14:textId="77777777" w:rsidTr="00437E63">
        <w:tc>
          <w:tcPr>
            <w:tcW w:w="3397" w:type="dxa"/>
          </w:tcPr>
          <w:p w14:paraId="6441D666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Czapek</w:t>
            </w:r>
            <w:proofErr w:type="spellEnd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Yeast Extract Broth (CZB)</w:t>
            </w:r>
          </w:p>
        </w:tc>
        <w:tc>
          <w:tcPr>
            <w:tcW w:w="851" w:type="dxa"/>
          </w:tcPr>
          <w:p w14:paraId="4CCAE83C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4768" w:type="dxa"/>
          </w:tcPr>
          <w:p w14:paraId="1F3C3631" w14:textId="77777777" w:rsidR="00373E45" w:rsidRPr="00365F6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NaNO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3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3; KH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1; MgSO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.7H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0.5; KCl 0.5; FeSO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.7H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 0.01; Glucose 30 </w:t>
            </w:r>
          </w:p>
        </w:tc>
      </w:tr>
      <w:tr w:rsidR="00373E45" w:rsidRPr="00365F61" w14:paraId="73479DBF" w14:textId="77777777" w:rsidTr="00437E63">
        <w:tc>
          <w:tcPr>
            <w:tcW w:w="3397" w:type="dxa"/>
          </w:tcPr>
          <w:p w14:paraId="31CC3BF2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Goose and </w:t>
            </w:r>
            <w:proofErr w:type="spellStart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Tschessch</w:t>
            </w:r>
            <w:proofErr w:type="spellEnd"/>
            <w:r w:rsidRPr="009F5F01">
              <w:rPr>
                <w:rFonts w:ascii="Times New Roman" w:hAnsi="Times New Roman" w:cs="Times New Roman"/>
                <w:sz w:val="20"/>
                <w:szCs w:val="20"/>
              </w:rPr>
              <w:t xml:space="preserve"> Broth (GTB)</w:t>
            </w:r>
          </w:p>
        </w:tc>
        <w:tc>
          <w:tcPr>
            <w:tcW w:w="851" w:type="dxa"/>
          </w:tcPr>
          <w:p w14:paraId="03247ED2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4768" w:type="dxa"/>
          </w:tcPr>
          <w:p w14:paraId="2A21F1D7" w14:textId="77777777" w:rsidR="00373E45" w:rsidRPr="00365F6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Peptone 2; Glucose 10; MgSO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.7H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0.5; KH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0.5</w:t>
            </w:r>
          </w:p>
        </w:tc>
      </w:tr>
      <w:tr w:rsidR="00373E45" w:rsidRPr="00365F61" w14:paraId="0EBD9282" w14:textId="77777777" w:rsidTr="00437E63">
        <w:tc>
          <w:tcPr>
            <w:tcW w:w="3397" w:type="dxa"/>
          </w:tcPr>
          <w:p w14:paraId="1D7B94A9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Leonine Broth (LEB)</w:t>
            </w:r>
          </w:p>
        </w:tc>
        <w:tc>
          <w:tcPr>
            <w:tcW w:w="851" w:type="dxa"/>
          </w:tcPr>
          <w:p w14:paraId="2902DD01" w14:textId="77777777" w:rsidR="00373E45" w:rsidRPr="009F5F0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01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4768" w:type="dxa"/>
          </w:tcPr>
          <w:p w14:paraId="6DE53F62" w14:textId="77777777" w:rsidR="00373E45" w:rsidRPr="00365F61" w:rsidRDefault="00373E45" w:rsidP="00437E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Peptone 0.625; Maltose 6.25; Malt extract 6.25; KH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1.25, MgSO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4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.7H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it-IT"/>
              </w:rPr>
              <w:t>2</w:t>
            </w:r>
            <w:r w:rsidRPr="00365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0.625</w:t>
            </w:r>
          </w:p>
        </w:tc>
      </w:tr>
    </w:tbl>
    <w:p w14:paraId="1EAC0ABD" w14:textId="04372862" w:rsidR="00373E45" w:rsidRPr="00365F61" w:rsidRDefault="00373E45">
      <w:pPr>
        <w:rPr>
          <w:lang w:val="it-IT"/>
        </w:rPr>
      </w:pPr>
    </w:p>
    <w:p w14:paraId="5314F09F" w14:textId="6D839DAB" w:rsidR="005C3874" w:rsidRPr="00365F61" w:rsidRDefault="005C3874">
      <w:pPr>
        <w:rPr>
          <w:lang w:val="it-IT"/>
        </w:rPr>
      </w:pPr>
    </w:p>
    <w:p w14:paraId="6D44A87F" w14:textId="7D48A6F6" w:rsidR="005C3874" w:rsidRPr="00365F61" w:rsidRDefault="005C3874">
      <w:pPr>
        <w:rPr>
          <w:lang w:val="it-IT"/>
        </w:rPr>
      </w:pPr>
    </w:p>
    <w:p w14:paraId="673A2E44" w14:textId="7970DFC4" w:rsidR="005C3874" w:rsidRPr="00365F61" w:rsidRDefault="005C3874">
      <w:pPr>
        <w:rPr>
          <w:lang w:val="it-IT"/>
        </w:rPr>
      </w:pPr>
    </w:p>
    <w:p w14:paraId="7A4558E3" w14:textId="329ED19C" w:rsidR="005C3874" w:rsidRPr="00365F61" w:rsidRDefault="005C3874">
      <w:pPr>
        <w:rPr>
          <w:lang w:val="it-IT"/>
        </w:rPr>
      </w:pPr>
    </w:p>
    <w:p w14:paraId="11DC27D0" w14:textId="1835F5BD" w:rsidR="005C3874" w:rsidRPr="00365F61" w:rsidRDefault="005C3874">
      <w:pPr>
        <w:rPr>
          <w:lang w:val="it-IT"/>
        </w:rPr>
      </w:pPr>
    </w:p>
    <w:p w14:paraId="69210D34" w14:textId="174F470D" w:rsidR="005C3874" w:rsidRPr="00365F61" w:rsidRDefault="005C3874">
      <w:pPr>
        <w:rPr>
          <w:lang w:val="it-IT"/>
        </w:rPr>
      </w:pPr>
    </w:p>
    <w:p w14:paraId="57657F0F" w14:textId="6693294D" w:rsidR="005C3874" w:rsidRPr="00365F61" w:rsidRDefault="005C3874">
      <w:pPr>
        <w:rPr>
          <w:lang w:val="it-IT"/>
        </w:rPr>
      </w:pPr>
    </w:p>
    <w:p w14:paraId="36A46B48" w14:textId="0E537924" w:rsidR="005C3874" w:rsidRPr="00365F61" w:rsidRDefault="005C3874">
      <w:pPr>
        <w:rPr>
          <w:lang w:val="it-IT"/>
        </w:rPr>
      </w:pPr>
    </w:p>
    <w:p w14:paraId="335B0A2F" w14:textId="63A43F7C" w:rsidR="005C3874" w:rsidRPr="00365F61" w:rsidRDefault="005C3874">
      <w:pPr>
        <w:rPr>
          <w:lang w:val="it-IT"/>
        </w:rPr>
      </w:pPr>
    </w:p>
    <w:p w14:paraId="2F2451F6" w14:textId="074050CC" w:rsidR="005C3874" w:rsidRPr="00365F61" w:rsidRDefault="005C3874">
      <w:pPr>
        <w:rPr>
          <w:lang w:val="it-IT"/>
        </w:rPr>
      </w:pPr>
    </w:p>
    <w:p w14:paraId="49685210" w14:textId="1A8E6E5B" w:rsidR="005C3874" w:rsidRPr="00365F61" w:rsidRDefault="005C3874">
      <w:pPr>
        <w:rPr>
          <w:lang w:val="it-IT"/>
        </w:rPr>
      </w:pPr>
    </w:p>
    <w:p w14:paraId="652C4FE7" w14:textId="641A58EF" w:rsidR="005C3874" w:rsidRDefault="00365F61" w:rsidP="005C3874">
      <w:pPr>
        <w:jc w:val="center"/>
      </w:pPr>
      <w:r>
        <w:lastRenderedPageBreak/>
        <w:pict w14:anchorId="550D7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335.25pt">
            <v:imagedata r:id="rId6" o:title="Fig S1 (1)"/>
          </v:shape>
        </w:pict>
      </w:r>
    </w:p>
    <w:p w14:paraId="7ECBC103" w14:textId="064E1D7F" w:rsidR="005C3874" w:rsidRDefault="005C3874" w:rsidP="005C3874">
      <w:pPr>
        <w:rPr>
          <w:rFonts w:ascii="Times New Roman" w:hAnsi="Times New Roman" w:cs="Times New Roman"/>
          <w:b/>
          <w:bCs/>
        </w:rPr>
      </w:pPr>
      <w:r w:rsidRPr="005C3874">
        <w:rPr>
          <w:b/>
          <w:bCs/>
        </w:rPr>
        <w:t xml:space="preserve"> </w:t>
      </w:r>
      <w:r w:rsidRPr="005C3874">
        <w:rPr>
          <w:rFonts w:ascii="Times New Roman" w:hAnsi="Times New Roman" w:cs="Times New Roman"/>
          <w:b/>
          <w:bCs/>
        </w:rPr>
        <w:t>Fig. S1:</w:t>
      </w:r>
      <w:r w:rsidR="00C8264E">
        <w:rPr>
          <w:rFonts w:ascii="Times New Roman" w:hAnsi="Times New Roman" w:cs="Times New Roman"/>
          <w:b/>
          <w:bCs/>
        </w:rPr>
        <w:t xml:space="preserve"> </w:t>
      </w:r>
      <w:r w:rsidR="00C8264E" w:rsidRPr="007723CF">
        <w:rPr>
          <w:rFonts w:ascii="Times New Roman" w:hAnsi="Times New Roman" w:cs="Times New Roman"/>
          <w:sz w:val="24"/>
          <w:szCs w:val="24"/>
        </w:rPr>
        <w:t xml:space="preserve">Effects of ASE on </w:t>
      </w:r>
      <w:r w:rsidR="00C8264E">
        <w:rPr>
          <w:rFonts w:ascii="Times New Roman" w:hAnsi="Times New Roman" w:cs="Times New Roman"/>
          <w:sz w:val="24"/>
          <w:szCs w:val="24"/>
        </w:rPr>
        <w:t xml:space="preserve">cell viability on (A) </w:t>
      </w:r>
      <w:r w:rsidR="00C8264E" w:rsidRPr="007723CF">
        <w:rPr>
          <w:rFonts w:ascii="Times New Roman" w:hAnsi="Times New Roman" w:cs="Times New Roman"/>
          <w:sz w:val="24"/>
          <w:szCs w:val="24"/>
        </w:rPr>
        <w:t>HeLa</w:t>
      </w:r>
      <w:r w:rsidR="00C8264E">
        <w:rPr>
          <w:rFonts w:ascii="Times New Roman" w:hAnsi="Times New Roman" w:cs="Times New Roman"/>
          <w:sz w:val="24"/>
          <w:szCs w:val="24"/>
        </w:rPr>
        <w:t xml:space="preserve"> cell line and (B) non-cancer CHO cell line in different concentrations by PI Live/Dead staining.</w:t>
      </w:r>
    </w:p>
    <w:p w14:paraId="1A51C738" w14:textId="41002574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3DA9B60C" w14:textId="6BDFF3D1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099978C3" w14:textId="7A9CCE70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6CA88A35" w14:textId="6567BEB1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580B6983" w14:textId="43D59597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73D8AC07" w14:textId="069DAECE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6A47C157" w14:textId="221E4ECD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7FC1CB3C" w14:textId="602E957D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7629B532" w14:textId="7EC8BACF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75B38065" w14:textId="1BD52761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5B547B1E" w14:textId="4DC0D932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7A592F2C" w14:textId="5BCA774E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2C7AA7E1" w14:textId="2E7F7066" w:rsidR="005C3874" w:rsidRDefault="005C3874" w:rsidP="005C3874">
      <w:pPr>
        <w:jc w:val="center"/>
        <w:rPr>
          <w:noProof/>
          <w:lang w:bidi="hi-IN"/>
        </w:rPr>
      </w:pPr>
    </w:p>
    <w:p w14:paraId="014FE21A" w14:textId="45274F76" w:rsidR="005C3874" w:rsidRDefault="00365F61" w:rsidP="005C3874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bidi="hi-IN"/>
        </w:rPr>
        <w:lastRenderedPageBreak/>
        <w:pict w14:anchorId="1E248F72">
          <v:shape id="_x0000_i1026" type="#_x0000_t75" style="width:269.25pt;height:306pt">
            <v:imagedata r:id="rId7" o:title="Fig S3 (1)"/>
          </v:shape>
        </w:pict>
      </w:r>
    </w:p>
    <w:p w14:paraId="348216BB" w14:textId="25E627BC" w:rsidR="00713C93" w:rsidRDefault="005C3874" w:rsidP="000D2BA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Fig. S2.</w:t>
      </w:r>
      <w:r w:rsidR="00713C93">
        <w:rPr>
          <w:rFonts w:ascii="Times New Roman" w:hAnsi="Times New Roman" w:cs="Times New Roman"/>
          <w:b/>
          <w:bCs/>
        </w:rPr>
        <w:t xml:space="preserve"> </w:t>
      </w:r>
      <w:r w:rsidR="000D2BA3" w:rsidRPr="000D2BA3">
        <w:rPr>
          <w:rFonts w:ascii="Times New Roman" w:hAnsi="Times New Roman" w:cs="Times New Roman"/>
        </w:rPr>
        <w:t xml:space="preserve">(A) Gating parameters used for estimation of ROS produced by HeLa cells under different treatments of ASE (B) </w:t>
      </w:r>
      <w:r w:rsidR="00713C93" w:rsidRPr="000D2BA3">
        <w:rPr>
          <w:rFonts w:ascii="Times New Roman" w:hAnsi="Times New Roman" w:cs="Times New Roman"/>
          <w:sz w:val="24"/>
          <w:szCs w:val="24"/>
        </w:rPr>
        <w:t>Effects</w:t>
      </w:r>
      <w:r w:rsidR="00713C93" w:rsidRPr="007723CF">
        <w:rPr>
          <w:rFonts w:ascii="Times New Roman" w:hAnsi="Times New Roman" w:cs="Times New Roman"/>
          <w:sz w:val="24"/>
          <w:szCs w:val="24"/>
        </w:rPr>
        <w:t xml:space="preserve"> of ASE on </w:t>
      </w:r>
      <w:r w:rsidR="00713C93">
        <w:rPr>
          <w:rFonts w:ascii="Times New Roman" w:hAnsi="Times New Roman" w:cs="Times New Roman"/>
          <w:sz w:val="24"/>
          <w:szCs w:val="24"/>
        </w:rPr>
        <w:t>production of Reactive Oxygen Species (ROS) in different concentrations by DCFDA staining</w:t>
      </w:r>
      <w:r w:rsidR="005F0315">
        <w:rPr>
          <w:rFonts w:ascii="Times New Roman" w:hAnsi="Times New Roman" w:cs="Times New Roman"/>
          <w:sz w:val="24"/>
          <w:szCs w:val="24"/>
        </w:rPr>
        <w:t xml:space="preserve"> by flow cytometry</w:t>
      </w:r>
      <w:r w:rsidR="00713C93">
        <w:rPr>
          <w:rFonts w:ascii="Times New Roman" w:hAnsi="Times New Roman" w:cs="Times New Roman"/>
          <w:sz w:val="24"/>
          <w:szCs w:val="24"/>
        </w:rPr>
        <w:t>.</w:t>
      </w:r>
      <w:r w:rsidR="005F0315">
        <w:rPr>
          <w:rFonts w:ascii="Times New Roman" w:hAnsi="Times New Roman" w:cs="Times New Roman"/>
          <w:sz w:val="24"/>
          <w:szCs w:val="24"/>
        </w:rPr>
        <w:t xml:space="preserve"> Bar Graph represents percent of ROS produced in different concentrations of ASE and ROS produced in absence and presence of ROS inhibitor (NAC) at 50 µg/mL of ASE.</w:t>
      </w:r>
    </w:p>
    <w:p w14:paraId="21A23B7D" w14:textId="5EEB9545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08D43F58" w14:textId="2E6053FB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40828692" w14:textId="16063F8E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08C0ECAD" w14:textId="639F9778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7C82B1EE" w14:textId="0841CC04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5F3C597F" w14:textId="207220D8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5562B038" w14:textId="0D3C14FD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54FDF145" w14:textId="1DEF8FD3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0A6D5C5C" w14:textId="4256D2A3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17DB7CE7" w14:textId="2E93F96D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7DD48FE7" w14:textId="73E33666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6EAACC21" w14:textId="4F6A23EE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35F14591" w14:textId="33FF5824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65E51C04" w14:textId="5A02C3A8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3718EB5C" w14:textId="728AE204" w:rsidR="005C3874" w:rsidRDefault="005C3874" w:rsidP="005C3874">
      <w:pPr>
        <w:rPr>
          <w:rFonts w:ascii="Times New Roman" w:hAnsi="Times New Roman" w:cs="Times New Roman"/>
          <w:b/>
          <w:bCs/>
        </w:rPr>
      </w:pPr>
    </w:p>
    <w:p w14:paraId="550DBB5F" w14:textId="2C50EA78" w:rsidR="005C3874" w:rsidRDefault="00365F61" w:rsidP="005C38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 w14:anchorId="0F30FA50">
          <v:shape id="_x0000_i1027" type="#_x0000_t75" style="width:352.5pt;height:239.25pt">
            <v:imagedata r:id="rId8" o:title="Fig S2"/>
          </v:shape>
        </w:pict>
      </w:r>
    </w:p>
    <w:p w14:paraId="701C9D46" w14:textId="33CB335B" w:rsidR="005C3874" w:rsidRPr="005F0315" w:rsidRDefault="005C3874" w:rsidP="005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Fig. S3.</w:t>
      </w:r>
      <w:r w:rsidR="005F0315">
        <w:rPr>
          <w:rFonts w:ascii="Times New Roman" w:hAnsi="Times New Roman" w:cs="Times New Roman"/>
          <w:b/>
          <w:bCs/>
        </w:rPr>
        <w:t xml:space="preserve"> </w:t>
      </w:r>
      <w:r w:rsidR="005F0315" w:rsidRPr="005F0315">
        <w:rPr>
          <w:rFonts w:ascii="Times New Roman" w:hAnsi="Times New Roman" w:cs="Times New Roman"/>
        </w:rPr>
        <w:t>Gating parameters used for estimation of loss in mitochondrial potential (MMP)</w:t>
      </w:r>
      <w:r w:rsidR="005F0315">
        <w:rPr>
          <w:rFonts w:ascii="Times New Roman" w:hAnsi="Times New Roman" w:cs="Times New Roman"/>
        </w:rPr>
        <w:t xml:space="preserve"> by JC-1 staining by flow cytometry.</w:t>
      </w:r>
    </w:p>
    <w:p w14:paraId="1870F098" w14:textId="77777777" w:rsidR="005C3874" w:rsidRPr="005C3874" w:rsidRDefault="005C3874" w:rsidP="005C3874">
      <w:pPr>
        <w:rPr>
          <w:rFonts w:ascii="Times New Roman" w:hAnsi="Times New Roman" w:cs="Times New Roman"/>
        </w:rPr>
      </w:pPr>
    </w:p>
    <w:sectPr w:rsidR="005C3874" w:rsidRPr="005C3874" w:rsidSect="00365F6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9A18" w14:textId="77777777" w:rsidR="00072124" w:rsidRDefault="00072124">
      <w:pPr>
        <w:spacing w:after="0" w:line="240" w:lineRule="auto"/>
      </w:pPr>
      <w:r>
        <w:separator/>
      </w:r>
    </w:p>
  </w:endnote>
  <w:endnote w:type="continuationSeparator" w:id="0">
    <w:p w14:paraId="7172EED5" w14:textId="77777777" w:rsidR="00072124" w:rsidRDefault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400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132B4" w14:textId="4BBFB847" w:rsidR="0009552F" w:rsidRDefault="00373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B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B2FD9A" w14:textId="77777777" w:rsidR="0009552F" w:rsidRDefault="0007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D389" w14:textId="77777777" w:rsidR="00072124" w:rsidRDefault="00072124">
      <w:pPr>
        <w:spacing w:after="0" w:line="240" w:lineRule="auto"/>
      </w:pPr>
      <w:r>
        <w:separator/>
      </w:r>
    </w:p>
  </w:footnote>
  <w:footnote w:type="continuationSeparator" w:id="0">
    <w:p w14:paraId="1B51F826" w14:textId="77777777" w:rsidR="00072124" w:rsidRDefault="0007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45"/>
    <w:rsid w:val="00072124"/>
    <w:rsid w:val="000A3C84"/>
    <w:rsid w:val="000D2BA3"/>
    <w:rsid w:val="00365F61"/>
    <w:rsid w:val="00373E45"/>
    <w:rsid w:val="005C3874"/>
    <w:rsid w:val="005F0315"/>
    <w:rsid w:val="00606082"/>
    <w:rsid w:val="00713C93"/>
    <w:rsid w:val="00744FB3"/>
    <w:rsid w:val="00C8264E"/>
    <w:rsid w:val="00F37F48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05DE1"/>
  <w15:chartTrackingRefBased/>
  <w15:docId w15:val="{9AE833B0-3111-4048-ADA1-2F13968E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45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E45"/>
    <w:rPr>
      <w:color w:val="0000FF"/>
      <w:u w:val="single"/>
    </w:rPr>
  </w:style>
  <w:style w:type="table" w:styleId="TableGrid">
    <w:name w:val="Table Grid"/>
    <w:basedOn w:val="TableNormal"/>
    <w:uiPriority w:val="39"/>
    <w:rsid w:val="0037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45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45"/>
    <w:rPr>
      <w:rFonts w:ascii="Segoe UI" w:eastAsiaTheme="minorEastAsia" w:hAnsi="Segoe UI" w:cs="Segoe UI"/>
      <w:sz w:val="18"/>
      <w:szCs w:val="18"/>
      <w:lang w:eastAsia="en-IN"/>
    </w:rPr>
  </w:style>
  <w:style w:type="character" w:styleId="LineNumber">
    <w:name w:val="line number"/>
    <w:basedOn w:val="DefaultParagraphFont"/>
    <w:uiPriority w:val="99"/>
    <w:semiHidden/>
    <w:unhideWhenUsed/>
    <w:rsid w:val="003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Sidhartha Taritla</dc:creator>
  <cp:keywords/>
  <dc:description/>
  <cp:lastModifiedBy>Adefolakemi</cp:lastModifiedBy>
  <cp:revision>2</cp:revision>
  <dcterms:created xsi:type="dcterms:W3CDTF">2021-04-23T11:53:00Z</dcterms:created>
  <dcterms:modified xsi:type="dcterms:W3CDTF">2021-04-23T11:53:00Z</dcterms:modified>
</cp:coreProperties>
</file>