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E5" w:rsidRPr="00CB4F08" w:rsidRDefault="00F102E5" w:rsidP="00F102E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B4F08">
        <w:rPr>
          <w:rFonts w:ascii="Times New Roman" w:hAnsi="Times New Roman"/>
          <w:sz w:val="28"/>
          <w:szCs w:val="28"/>
        </w:rPr>
        <w:t>Supporting Information</w:t>
      </w:r>
    </w:p>
    <w:p w:rsidR="00F102E5" w:rsidRPr="00733AC1" w:rsidRDefault="00F102E5" w:rsidP="00F102E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33AC1">
        <w:rPr>
          <w:rFonts w:ascii="Times New Roman" w:hAnsi="Times New Roman"/>
          <w:b/>
          <w:sz w:val="28"/>
          <w:szCs w:val="28"/>
        </w:rPr>
        <w:t xml:space="preserve">Transferrin conjugates of </w:t>
      </w:r>
      <w:proofErr w:type="spellStart"/>
      <w:r w:rsidRPr="00733AC1">
        <w:rPr>
          <w:rFonts w:ascii="Times New Roman" w:hAnsi="Times New Roman"/>
          <w:b/>
          <w:sz w:val="28"/>
          <w:szCs w:val="28"/>
        </w:rPr>
        <w:t>antitubercular</w:t>
      </w:r>
      <w:proofErr w:type="spellEnd"/>
      <w:r w:rsidRPr="00733AC1">
        <w:rPr>
          <w:rFonts w:ascii="Times New Roman" w:hAnsi="Times New Roman"/>
          <w:b/>
          <w:sz w:val="28"/>
          <w:szCs w:val="28"/>
        </w:rPr>
        <w:t xml:space="preserve"> drug</w:t>
      </w:r>
      <w:r>
        <w:rPr>
          <w:rFonts w:ascii="Times New Roman" w:hAnsi="Times New Roman"/>
          <w:b/>
          <w:sz w:val="28"/>
          <w:szCs w:val="28"/>
        </w:rPr>
        <w:t xml:space="preserve"> isoniazid: Synthesis </w:t>
      </w:r>
      <w:r w:rsidRPr="00733AC1">
        <w:rPr>
          <w:rFonts w:ascii="Times New Roman" w:hAnsi="Times New Roman"/>
          <w:b/>
          <w:sz w:val="28"/>
          <w:szCs w:val="28"/>
        </w:rPr>
        <w:t>and in Vitro efficacy</w:t>
      </w:r>
    </w:p>
    <w:p w:rsidR="00F102E5" w:rsidRPr="004E0FBD" w:rsidRDefault="00F102E5" w:rsidP="00F102E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AF50A5">
        <w:rPr>
          <w:rFonts w:ascii="Times New Roman" w:hAnsi="Times New Roman"/>
          <w:i/>
          <w:sz w:val="24"/>
          <w:szCs w:val="24"/>
        </w:rPr>
        <w:t>Yogesh</w:t>
      </w:r>
      <w:proofErr w:type="spellEnd"/>
      <w:r w:rsidRPr="00AF50A5">
        <w:rPr>
          <w:rFonts w:ascii="Times New Roman" w:hAnsi="Times New Roman"/>
          <w:i/>
          <w:sz w:val="24"/>
          <w:szCs w:val="24"/>
        </w:rPr>
        <w:t xml:space="preserve"> B. Sutar</w:t>
      </w:r>
      <w:r w:rsidRPr="004E0FBD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AF50A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F50A5">
        <w:rPr>
          <w:rFonts w:ascii="Times New Roman" w:hAnsi="Times New Roman"/>
          <w:i/>
          <w:sz w:val="24"/>
          <w:szCs w:val="24"/>
        </w:rPr>
        <w:t>Jaishree</w:t>
      </w:r>
      <w:proofErr w:type="spellEnd"/>
      <w:r w:rsidRPr="00AF50A5">
        <w:rPr>
          <w:rFonts w:ascii="Times New Roman" w:hAnsi="Times New Roman"/>
          <w:i/>
          <w:sz w:val="24"/>
          <w:szCs w:val="24"/>
        </w:rPr>
        <w:t xml:space="preserve"> K. Mali</w:t>
      </w:r>
      <w:r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AF50A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F50A5">
        <w:rPr>
          <w:rFonts w:ascii="Times New Roman" w:hAnsi="Times New Roman"/>
          <w:i/>
          <w:sz w:val="24"/>
          <w:szCs w:val="24"/>
        </w:rPr>
        <w:t>Vikas</w:t>
      </w:r>
      <w:proofErr w:type="spellEnd"/>
      <w:r w:rsidRPr="00AF50A5">
        <w:rPr>
          <w:rFonts w:ascii="Times New Roman" w:hAnsi="Times New Roman"/>
          <w:i/>
          <w:sz w:val="24"/>
          <w:szCs w:val="24"/>
        </w:rPr>
        <w:t xml:space="preserve"> N. Telvekar</w:t>
      </w:r>
      <w:r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AF50A5">
        <w:rPr>
          <w:rFonts w:ascii="Times New Roman" w:hAnsi="Times New Roman"/>
          <w:i/>
          <w:sz w:val="24"/>
          <w:szCs w:val="24"/>
          <w:vertAlign w:val="superscript"/>
        </w:rPr>
        <w:t>*</w:t>
      </w:r>
      <w:r w:rsidRPr="00AF50A5">
        <w:rPr>
          <w:rFonts w:ascii="Times New Roman" w:hAnsi="Times New Roman"/>
          <w:i/>
          <w:sz w:val="24"/>
          <w:szCs w:val="24"/>
        </w:rPr>
        <w:t>, Raju S. Rajmani</w:t>
      </w:r>
      <w:r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AF50A5">
        <w:rPr>
          <w:rFonts w:ascii="Times New Roman" w:hAnsi="Times New Roman"/>
          <w:i/>
          <w:sz w:val="24"/>
          <w:szCs w:val="24"/>
        </w:rPr>
        <w:t>Amit Singh</w:t>
      </w:r>
      <w:r>
        <w:rPr>
          <w:rFonts w:ascii="Times New Roman" w:hAnsi="Times New Roman"/>
          <w:i/>
          <w:sz w:val="24"/>
          <w:szCs w:val="24"/>
          <w:vertAlign w:val="superscript"/>
        </w:rPr>
        <w:t>2</w:t>
      </w:r>
    </w:p>
    <w:p w:rsidR="00F102E5" w:rsidRDefault="00F102E5" w:rsidP="00F102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02E5" w:rsidRDefault="00F102E5" w:rsidP="00F102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4F32EB">
        <w:rPr>
          <w:rFonts w:ascii="Times New Roman" w:hAnsi="Times New Roman"/>
          <w:sz w:val="24"/>
          <w:szCs w:val="24"/>
        </w:rPr>
        <w:t>Department of Pha</w:t>
      </w:r>
      <w:r>
        <w:rPr>
          <w:rFonts w:ascii="Times New Roman" w:hAnsi="Times New Roman"/>
          <w:sz w:val="24"/>
          <w:szCs w:val="24"/>
        </w:rPr>
        <w:t>rmaceutical Sciences and Technology, Institute of Chemical Technology, Mumbai 400 019, India.</w:t>
      </w:r>
      <w:proofErr w:type="gramEnd"/>
    </w:p>
    <w:p w:rsidR="00F102E5" w:rsidRPr="00B7070D" w:rsidRDefault="00F102E5" w:rsidP="00F102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0B4D1E">
        <w:rPr>
          <w:rFonts w:ascii="Times New Roman" w:hAnsi="Times New Roman"/>
          <w:sz w:val="24"/>
          <w:szCs w:val="24"/>
        </w:rPr>
        <w:t>Biosafety Level-3 Laboratory, Centre for Infectious Disease</w:t>
      </w:r>
      <w:r>
        <w:rPr>
          <w:rFonts w:ascii="Times New Roman" w:hAnsi="Times New Roman"/>
          <w:sz w:val="24"/>
          <w:szCs w:val="24"/>
        </w:rPr>
        <w:t xml:space="preserve"> Research</w:t>
      </w:r>
      <w:r w:rsidRPr="000B4D1E">
        <w:rPr>
          <w:rFonts w:ascii="Times New Roman" w:hAnsi="Times New Roman"/>
          <w:sz w:val="24"/>
          <w:szCs w:val="24"/>
        </w:rPr>
        <w:t>, Indian Institute of Sc</w:t>
      </w:r>
      <w:r>
        <w:rPr>
          <w:rFonts w:ascii="Times New Roman" w:hAnsi="Times New Roman"/>
          <w:sz w:val="24"/>
          <w:szCs w:val="24"/>
        </w:rPr>
        <w:t>ience, Bangalore 560 012, India</w:t>
      </w:r>
    </w:p>
    <w:p w:rsidR="00F102E5" w:rsidRDefault="00F102E5" w:rsidP="00F102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Corresponding author: </w:t>
      </w:r>
      <w:proofErr w:type="spellStart"/>
      <w:r w:rsidRPr="00AF50A5">
        <w:rPr>
          <w:rFonts w:ascii="Times New Roman" w:hAnsi="Times New Roman"/>
          <w:sz w:val="24"/>
          <w:szCs w:val="24"/>
        </w:rPr>
        <w:t>Vikas</w:t>
      </w:r>
      <w:proofErr w:type="spellEnd"/>
      <w:r w:rsidRPr="00AF50A5">
        <w:rPr>
          <w:rFonts w:ascii="Times New Roman" w:hAnsi="Times New Roman"/>
          <w:sz w:val="24"/>
          <w:szCs w:val="24"/>
        </w:rPr>
        <w:t xml:space="preserve"> N. </w:t>
      </w:r>
      <w:proofErr w:type="spellStart"/>
      <w:r w:rsidRPr="00AF50A5">
        <w:rPr>
          <w:rFonts w:ascii="Times New Roman" w:hAnsi="Times New Roman"/>
          <w:sz w:val="24"/>
          <w:szCs w:val="24"/>
        </w:rPr>
        <w:t>Telvekar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69065C">
        <w:rPr>
          <w:rFonts w:ascii="Times New Roman" w:hAnsi="Times New Roman"/>
          <w:sz w:val="24"/>
          <w:szCs w:val="24"/>
        </w:rPr>
        <w:t>Pharmaceutical Technology Research Lab,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Department of Pharmaceutical Sciences and Technology, Institute of Chemical Technology, Mumbai 400 019, India. Email: </w:t>
      </w:r>
      <w:hyperlink r:id="rId9" w:history="1">
        <w:r w:rsidRPr="00EF2182">
          <w:rPr>
            <w:rStyle w:val="Hyperlink"/>
            <w:rFonts w:ascii="Times New Roman" w:hAnsi="Times New Roman"/>
            <w:szCs w:val="24"/>
          </w:rPr>
          <w:t>vikastelvekar@rediffmail.com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102E5" w:rsidRDefault="00F102E5" w:rsidP="00F102E5">
      <w:pPr>
        <w:pStyle w:val="RSCB04AHeadingSection"/>
        <w:ind w:left="720" w:firstLine="144"/>
        <w:rPr>
          <w:rFonts w:ascii="Times New Roman" w:hAnsi="Times New Roman"/>
          <w:szCs w:val="24"/>
        </w:rPr>
      </w:pPr>
    </w:p>
    <w:p w:rsidR="00F102E5" w:rsidRDefault="00F102E5" w:rsidP="00F102E5">
      <w:pPr>
        <w:pStyle w:val="RSCB04AHeadingSection"/>
        <w:ind w:left="720" w:firstLine="144"/>
        <w:rPr>
          <w:rFonts w:ascii="Times New Roman" w:hAnsi="Times New Roman"/>
          <w:szCs w:val="24"/>
        </w:rPr>
      </w:pPr>
    </w:p>
    <w:p w:rsidR="00F102E5" w:rsidRDefault="00F102E5" w:rsidP="00F102E5">
      <w:pPr>
        <w:pStyle w:val="RSCB04AHeadingSection"/>
        <w:rPr>
          <w:rFonts w:ascii="Times New Roman" w:hAnsi="Times New Roman"/>
          <w:szCs w:val="24"/>
        </w:rPr>
      </w:pPr>
    </w:p>
    <w:p w:rsidR="00F102E5" w:rsidRPr="00314627" w:rsidRDefault="00F102E5" w:rsidP="00F102E5">
      <w:pPr>
        <w:pStyle w:val="RSCB04AHeadingSection"/>
        <w:ind w:left="720" w:firstLine="144"/>
        <w:rPr>
          <w:rFonts w:ascii="Times New Roman" w:hAnsi="Times New Roman"/>
          <w:szCs w:val="24"/>
        </w:rPr>
      </w:pPr>
      <w:r w:rsidRPr="00314627">
        <w:rPr>
          <w:rFonts w:ascii="Times New Roman" w:hAnsi="Times New Roman"/>
          <w:szCs w:val="24"/>
        </w:rPr>
        <w:t>Contents</w:t>
      </w:r>
    </w:p>
    <w:p w:rsidR="00F102E5" w:rsidRPr="00314627" w:rsidRDefault="00F102E5" w:rsidP="00F102E5">
      <w:pPr>
        <w:pStyle w:val="RSCB04AHeadingSection"/>
        <w:numPr>
          <w:ilvl w:val="0"/>
          <w:numId w:val="1"/>
        </w:numPr>
        <w:rPr>
          <w:rFonts w:ascii="Times New Roman" w:hAnsi="Times New Roman"/>
          <w:bCs/>
          <w:szCs w:val="24"/>
          <w:lang w:val="en-US"/>
        </w:rPr>
      </w:pPr>
      <w:r w:rsidRPr="00314627">
        <w:rPr>
          <w:rFonts w:ascii="Times New Roman" w:hAnsi="Times New Roman"/>
          <w:szCs w:val="24"/>
        </w:rPr>
        <w:t>General information</w:t>
      </w:r>
      <w:r>
        <w:rPr>
          <w:rFonts w:ascii="Times New Roman" w:hAnsi="Times New Roman"/>
          <w:bCs/>
          <w:szCs w:val="24"/>
          <w:lang w:val="en-US"/>
        </w:rPr>
        <w:t xml:space="preserve"> </w:t>
      </w:r>
      <w:r>
        <w:rPr>
          <w:rFonts w:ascii="Times New Roman" w:hAnsi="Times New Roman"/>
          <w:bCs/>
          <w:szCs w:val="24"/>
          <w:lang w:val="en-US"/>
        </w:rPr>
        <w:tab/>
      </w:r>
      <w:r>
        <w:rPr>
          <w:rFonts w:ascii="Times New Roman" w:hAnsi="Times New Roman"/>
          <w:bCs/>
          <w:szCs w:val="24"/>
          <w:lang w:val="en-US"/>
        </w:rPr>
        <w:tab/>
      </w:r>
      <w:r>
        <w:rPr>
          <w:rFonts w:ascii="Times New Roman" w:hAnsi="Times New Roman"/>
          <w:bCs/>
          <w:szCs w:val="24"/>
          <w:lang w:val="en-US"/>
        </w:rPr>
        <w:tab/>
      </w:r>
      <w:r>
        <w:rPr>
          <w:rFonts w:ascii="Times New Roman" w:hAnsi="Times New Roman"/>
          <w:bCs/>
          <w:szCs w:val="24"/>
          <w:lang w:val="en-US"/>
        </w:rPr>
        <w:tab/>
      </w:r>
      <w:r>
        <w:rPr>
          <w:rFonts w:ascii="Times New Roman" w:hAnsi="Times New Roman"/>
          <w:bCs/>
          <w:szCs w:val="24"/>
          <w:lang w:val="en-US"/>
        </w:rPr>
        <w:tab/>
      </w:r>
      <w:r>
        <w:rPr>
          <w:rFonts w:ascii="Times New Roman" w:hAnsi="Times New Roman"/>
          <w:bCs/>
          <w:szCs w:val="24"/>
          <w:lang w:val="en-US"/>
        </w:rPr>
        <w:tab/>
      </w:r>
      <w:r>
        <w:rPr>
          <w:rFonts w:ascii="Times New Roman" w:hAnsi="Times New Roman"/>
          <w:bCs/>
          <w:szCs w:val="24"/>
          <w:lang w:val="en-US"/>
        </w:rPr>
        <w:tab/>
      </w:r>
      <w:r>
        <w:rPr>
          <w:rFonts w:ascii="Times New Roman" w:hAnsi="Times New Roman"/>
          <w:bCs/>
          <w:szCs w:val="24"/>
          <w:lang w:val="en-US"/>
        </w:rPr>
        <w:tab/>
      </w:r>
      <w:r w:rsidRPr="00314627">
        <w:rPr>
          <w:rFonts w:ascii="Times New Roman" w:hAnsi="Times New Roman"/>
          <w:bCs/>
          <w:szCs w:val="24"/>
          <w:lang w:val="en-US"/>
        </w:rPr>
        <w:t>2</w:t>
      </w:r>
    </w:p>
    <w:p w:rsidR="00F102E5" w:rsidRPr="00314627" w:rsidRDefault="0025357D" w:rsidP="00F102E5">
      <w:pPr>
        <w:pStyle w:val="RSCB04AHeadingSection"/>
        <w:numPr>
          <w:ilvl w:val="0"/>
          <w:numId w:val="1"/>
        </w:numPr>
        <w:rPr>
          <w:rFonts w:ascii="Times New Roman" w:hAnsi="Times New Roman"/>
          <w:bCs/>
          <w:szCs w:val="24"/>
          <w:lang w:val="en-US"/>
        </w:rPr>
      </w:pPr>
      <w:r>
        <w:rPr>
          <w:rFonts w:ascii="Times New Roman" w:hAnsi="Times New Roman"/>
          <w:szCs w:val="24"/>
        </w:rPr>
        <w:t>Spectroscopic</w:t>
      </w:r>
      <w:r w:rsidR="00F102E5">
        <w:rPr>
          <w:rFonts w:ascii="Times New Roman" w:hAnsi="Times New Roman"/>
          <w:bCs/>
          <w:szCs w:val="24"/>
          <w:lang w:val="en-US"/>
        </w:rPr>
        <w:t xml:space="preserve"> data</w:t>
      </w:r>
      <w:r w:rsidR="00F102E5">
        <w:rPr>
          <w:rFonts w:ascii="Times New Roman" w:hAnsi="Times New Roman"/>
          <w:bCs/>
          <w:szCs w:val="24"/>
          <w:lang w:val="en-US"/>
        </w:rPr>
        <w:tab/>
      </w:r>
      <w:r w:rsidR="00F102E5">
        <w:rPr>
          <w:rFonts w:ascii="Times New Roman" w:hAnsi="Times New Roman"/>
          <w:bCs/>
          <w:szCs w:val="24"/>
          <w:lang w:val="en-US"/>
        </w:rPr>
        <w:tab/>
      </w:r>
      <w:r w:rsidR="00F102E5">
        <w:rPr>
          <w:rFonts w:ascii="Times New Roman" w:hAnsi="Times New Roman"/>
          <w:bCs/>
          <w:szCs w:val="24"/>
          <w:lang w:val="en-US"/>
        </w:rPr>
        <w:tab/>
      </w:r>
      <w:r w:rsidR="00F102E5">
        <w:rPr>
          <w:rFonts w:ascii="Times New Roman" w:hAnsi="Times New Roman"/>
          <w:bCs/>
          <w:szCs w:val="24"/>
          <w:lang w:val="en-US"/>
        </w:rPr>
        <w:tab/>
      </w:r>
      <w:r w:rsidR="00F102E5">
        <w:rPr>
          <w:rFonts w:ascii="Times New Roman" w:hAnsi="Times New Roman"/>
          <w:bCs/>
          <w:szCs w:val="24"/>
          <w:lang w:val="en-US"/>
        </w:rPr>
        <w:tab/>
        <w:t xml:space="preserve">      </w:t>
      </w:r>
      <w:r w:rsidR="00F102E5">
        <w:rPr>
          <w:rFonts w:ascii="Times New Roman" w:hAnsi="Times New Roman"/>
          <w:bCs/>
          <w:szCs w:val="24"/>
          <w:lang w:val="en-US"/>
        </w:rPr>
        <w:tab/>
      </w:r>
      <w:r w:rsidR="00F102E5">
        <w:rPr>
          <w:rFonts w:ascii="Times New Roman" w:hAnsi="Times New Roman"/>
          <w:bCs/>
          <w:szCs w:val="24"/>
          <w:lang w:val="en-US"/>
        </w:rPr>
        <w:tab/>
      </w:r>
      <w:r w:rsidR="00F102E5">
        <w:rPr>
          <w:rFonts w:ascii="Times New Roman" w:hAnsi="Times New Roman"/>
          <w:bCs/>
          <w:szCs w:val="24"/>
          <w:lang w:val="en-US"/>
        </w:rPr>
        <w:tab/>
        <w:t xml:space="preserve">        </w:t>
      </w:r>
      <w:r w:rsidR="00007C4B">
        <w:rPr>
          <w:rFonts w:ascii="Times New Roman" w:hAnsi="Times New Roman"/>
          <w:bCs/>
          <w:szCs w:val="24"/>
          <w:lang w:val="en-US"/>
        </w:rPr>
        <w:tab/>
      </w:r>
      <w:r w:rsidR="00F102E5">
        <w:rPr>
          <w:rFonts w:ascii="Times New Roman" w:hAnsi="Times New Roman"/>
          <w:bCs/>
          <w:szCs w:val="24"/>
          <w:lang w:val="en-US"/>
        </w:rPr>
        <w:t>2</w:t>
      </w:r>
    </w:p>
    <w:p w:rsidR="00F102E5" w:rsidRPr="009172AE" w:rsidRDefault="00007C4B" w:rsidP="00F102E5">
      <w:pPr>
        <w:pStyle w:val="RSCB04AHeadingSection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Reference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</w:t>
      </w:r>
    </w:p>
    <w:p w:rsidR="000D220E" w:rsidRDefault="000D220E" w:rsidP="000D220E">
      <w:pPr>
        <w:pStyle w:val="RSCB04AHeadingSection"/>
        <w:numPr>
          <w:ilvl w:val="0"/>
          <w:numId w:val="1"/>
        </w:numPr>
        <w:spacing w:after="0"/>
        <w:rPr>
          <w:rFonts w:ascii="Times New Roman" w:hAnsi="Times New Roman"/>
          <w:szCs w:val="24"/>
        </w:rPr>
      </w:pPr>
      <w:r w:rsidRPr="00675395">
        <w:rPr>
          <w:rFonts w:ascii="Times New Roman" w:hAnsi="Times New Roman"/>
          <w:szCs w:val="24"/>
          <w:highlight w:val="yellow"/>
        </w:rPr>
        <w:t>FTIR</w:t>
      </w:r>
      <w:r>
        <w:rPr>
          <w:rFonts w:ascii="Times New Roman" w:hAnsi="Times New Roman"/>
          <w:szCs w:val="24"/>
        </w:rPr>
        <w:t xml:space="preserve">, </w:t>
      </w:r>
      <w:r w:rsidR="00F102E5" w:rsidRPr="00314627">
        <w:rPr>
          <w:rFonts w:ascii="Times New Roman" w:hAnsi="Times New Roman"/>
          <w:szCs w:val="24"/>
          <w:vertAlign w:val="superscript"/>
        </w:rPr>
        <w:t>1</w:t>
      </w:r>
      <w:r w:rsidR="00F102E5" w:rsidRPr="00314627">
        <w:rPr>
          <w:rFonts w:ascii="Times New Roman" w:hAnsi="Times New Roman"/>
          <w:szCs w:val="24"/>
        </w:rPr>
        <w:t xml:space="preserve">H, </w:t>
      </w:r>
      <w:r w:rsidR="00F102E5" w:rsidRPr="00314627">
        <w:rPr>
          <w:rFonts w:ascii="Times New Roman" w:hAnsi="Times New Roman"/>
          <w:szCs w:val="24"/>
          <w:vertAlign w:val="superscript"/>
        </w:rPr>
        <w:t>13</w:t>
      </w:r>
      <w:r w:rsidR="0025357D">
        <w:rPr>
          <w:rFonts w:ascii="Times New Roman" w:hAnsi="Times New Roman"/>
          <w:szCs w:val="24"/>
        </w:rPr>
        <w:t xml:space="preserve">C NMR spectra, </w:t>
      </w:r>
      <w:r w:rsidR="0025357D" w:rsidRPr="0025357D">
        <w:rPr>
          <w:rFonts w:ascii="Times New Roman" w:hAnsi="Times New Roman"/>
          <w:szCs w:val="24"/>
        </w:rPr>
        <w:t xml:space="preserve">Calibration curve (TNBS assay), </w:t>
      </w:r>
      <w:r w:rsidR="0025357D">
        <w:rPr>
          <w:rFonts w:ascii="Times New Roman" w:hAnsi="Times New Roman"/>
          <w:szCs w:val="24"/>
        </w:rPr>
        <w:t xml:space="preserve"> </w:t>
      </w:r>
      <w:r w:rsidR="00F102E5" w:rsidRPr="00314627">
        <w:rPr>
          <w:rFonts w:ascii="Times New Roman" w:hAnsi="Times New Roman"/>
          <w:szCs w:val="24"/>
        </w:rPr>
        <w:t>and</w:t>
      </w:r>
    </w:p>
    <w:p w:rsidR="00F102E5" w:rsidRPr="00314627" w:rsidRDefault="0025357D" w:rsidP="000D220E">
      <w:pPr>
        <w:pStyle w:val="RSCB04AHeadingSection"/>
        <w:spacing w:after="0"/>
        <w:ind w:left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mass</w:t>
      </w:r>
      <w:proofErr w:type="gramEnd"/>
      <w:r>
        <w:rPr>
          <w:rFonts w:ascii="Times New Roman" w:hAnsi="Times New Roman"/>
          <w:szCs w:val="24"/>
        </w:rPr>
        <w:t xml:space="preserve"> spectra</w:t>
      </w:r>
      <w:r>
        <w:rPr>
          <w:rFonts w:ascii="Times New Roman" w:hAnsi="Times New Roman"/>
          <w:szCs w:val="24"/>
        </w:rPr>
        <w:tab/>
      </w:r>
      <w:r w:rsidR="000D220E">
        <w:rPr>
          <w:rFonts w:ascii="Times New Roman" w:hAnsi="Times New Roman"/>
          <w:szCs w:val="24"/>
        </w:rPr>
        <w:tab/>
      </w:r>
      <w:r w:rsidR="000D220E">
        <w:rPr>
          <w:rFonts w:ascii="Times New Roman" w:hAnsi="Times New Roman"/>
          <w:szCs w:val="24"/>
        </w:rPr>
        <w:tab/>
      </w:r>
      <w:r w:rsidR="000D220E">
        <w:rPr>
          <w:rFonts w:ascii="Times New Roman" w:hAnsi="Times New Roman"/>
          <w:szCs w:val="24"/>
        </w:rPr>
        <w:tab/>
      </w:r>
      <w:r w:rsidR="000D220E">
        <w:rPr>
          <w:rFonts w:ascii="Times New Roman" w:hAnsi="Times New Roman"/>
          <w:szCs w:val="24"/>
        </w:rPr>
        <w:tab/>
      </w:r>
      <w:r w:rsidR="000D220E">
        <w:rPr>
          <w:rFonts w:ascii="Times New Roman" w:hAnsi="Times New Roman"/>
          <w:szCs w:val="24"/>
        </w:rPr>
        <w:tab/>
      </w:r>
      <w:r w:rsidR="000D220E">
        <w:rPr>
          <w:rFonts w:ascii="Times New Roman" w:hAnsi="Times New Roman"/>
          <w:szCs w:val="24"/>
        </w:rPr>
        <w:tab/>
      </w:r>
      <w:r w:rsidR="000D220E">
        <w:rPr>
          <w:rFonts w:ascii="Times New Roman" w:hAnsi="Times New Roman"/>
          <w:szCs w:val="24"/>
        </w:rPr>
        <w:tab/>
      </w:r>
      <w:r w:rsidR="000D220E">
        <w:rPr>
          <w:rFonts w:ascii="Times New Roman" w:hAnsi="Times New Roman"/>
          <w:szCs w:val="24"/>
        </w:rPr>
        <w:tab/>
      </w:r>
      <w:r w:rsidR="000D220E">
        <w:rPr>
          <w:rFonts w:ascii="Times New Roman" w:hAnsi="Times New Roman"/>
          <w:szCs w:val="24"/>
        </w:rPr>
        <w:tab/>
      </w:r>
      <w:r w:rsidR="00F102E5">
        <w:rPr>
          <w:rFonts w:ascii="Times New Roman" w:hAnsi="Times New Roman"/>
          <w:bCs/>
          <w:color w:val="181818"/>
          <w:szCs w:val="24"/>
          <w:lang w:val="en-US"/>
        </w:rPr>
        <w:t>3</w:t>
      </w:r>
      <w:r w:rsidR="00007C4B">
        <w:rPr>
          <w:rFonts w:ascii="Times New Roman" w:hAnsi="Times New Roman"/>
          <w:bCs/>
          <w:color w:val="181818"/>
          <w:szCs w:val="24"/>
          <w:lang w:val="en-US"/>
        </w:rPr>
        <w:t>-</w:t>
      </w:r>
      <w:r w:rsidR="000D220E">
        <w:rPr>
          <w:rFonts w:ascii="Times New Roman" w:hAnsi="Times New Roman"/>
          <w:bCs/>
          <w:color w:val="181818"/>
          <w:szCs w:val="24"/>
          <w:lang w:val="en-US"/>
        </w:rPr>
        <w:t>7</w:t>
      </w:r>
    </w:p>
    <w:p w:rsidR="00F102E5" w:rsidRDefault="00F102E5" w:rsidP="00F102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102E5" w:rsidRDefault="00F102E5" w:rsidP="00F102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2E5" w:rsidRPr="0025357D" w:rsidRDefault="0025357D" w:rsidP="002535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F102E5" w:rsidRPr="0025357D">
        <w:rPr>
          <w:rFonts w:ascii="Times New Roman" w:hAnsi="Times New Roman" w:cs="Times New Roman"/>
          <w:b/>
          <w:sz w:val="24"/>
          <w:szCs w:val="24"/>
        </w:rPr>
        <w:t>GENERAL INFORMATION:</w:t>
      </w:r>
    </w:p>
    <w:p w:rsidR="00270B97" w:rsidRDefault="00270B97" w:rsidP="000D220E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0B97">
        <w:rPr>
          <w:rFonts w:ascii="Times New Roman" w:hAnsi="Times New Roman"/>
          <w:bCs/>
          <w:color w:val="000000"/>
          <w:sz w:val="24"/>
          <w:szCs w:val="24"/>
          <w:highlight w:val="yellow"/>
        </w:rPr>
        <w:t xml:space="preserve">FTIR spectroscopy of INH, IH, IG, </w:t>
      </w:r>
      <w:proofErr w:type="spellStart"/>
      <w:r w:rsidRPr="00270B97">
        <w:rPr>
          <w:rFonts w:ascii="Times New Roman" w:hAnsi="Times New Roman"/>
          <w:bCs/>
          <w:color w:val="000000"/>
          <w:sz w:val="24"/>
          <w:szCs w:val="24"/>
          <w:highlight w:val="yellow"/>
        </w:rPr>
        <w:t>Tf</w:t>
      </w:r>
      <w:proofErr w:type="spellEnd"/>
      <w:r w:rsidRPr="00270B97">
        <w:rPr>
          <w:rFonts w:ascii="Times New Roman" w:hAnsi="Times New Roman"/>
          <w:bCs/>
          <w:color w:val="000000"/>
          <w:sz w:val="24"/>
          <w:szCs w:val="24"/>
          <w:highlight w:val="yellow"/>
        </w:rPr>
        <w:t xml:space="preserve">-IH, </w:t>
      </w:r>
      <w:r w:rsidRPr="00270B97">
        <w:rPr>
          <w:rFonts w:ascii="Times New Roman" w:hAnsi="Times New Roman"/>
          <w:bCs/>
          <w:noProof/>
          <w:color w:val="000000"/>
          <w:sz w:val="24"/>
          <w:szCs w:val="24"/>
          <w:highlight w:val="yellow"/>
        </w:rPr>
        <w:t>and</w:t>
      </w:r>
      <w:r w:rsidRPr="00270B97">
        <w:rPr>
          <w:rFonts w:ascii="Times New Roman" w:hAnsi="Times New Roman"/>
          <w:bCs/>
          <w:color w:val="000000"/>
          <w:sz w:val="24"/>
          <w:szCs w:val="24"/>
          <w:highlight w:val="yellow"/>
        </w:rPr>
        <w:t xml:space="preserve"> </w:t>
      </w:r>
      <w:proofErr w:type="spellStart"/>
      <w:r w:rsidRPr="00270B97">
        <w:rPr>
          <w:rFonts w:ascii="Times New Roman" w:hAnsi="Times New Roman"/>
          <w:bCs/>
          <w:color w:val="000000"/>
          <w:sz w:val="24"/>
          <w:szCs w:val="24"/>
          <w:highlight w:val="yellow"/>
        </w:rPr>
        <w:t>Tf</w:t>
      </w:r>
      <w:proofErr w:type="spellEnd"/>
      <w:r w:rsidRPr="00270B97">
        <w:rPr>
          <w:rFonts w:ascii="Times New Roman" w:hAnsi="Times New Roman"/>
          <w:bCs/>
          <w:color w:val="000000"/>
          <w:sz w:val="24"/>
          <w:szCs w:val="24"/>
          <w:highlight w:val="yellow"/>
        </w:rPr>
        <w:t xml:space="preserve">-IG was recorded on FTIR spectrophotometer (Perkin Elmer FT-IR, Spectrum Two L160000A). For that, the samples were mixed with 200 mg of previously dried </w:t>
      </w:r>
      <w:proofErr w:type="spellStart"/>
      <w:r w:rsidRPr="00270B97">
        <w:rPr>
          <w:rFonts w:ascii="Times New Roman" w:hAnsi="Times New Roman"/>
          <w:bCs/>
          <w:color w:val="000000"/>
          <w:sz w:val="24"/>
          <w:szCs w:val="24"/>
          <w:highlight w:val="yellow"/>
        </w:rPr>
        <w:t>KBr</w:t>
      </w:r>
      <w:proofErr w:type="spellEnd"/>
      <w:r w:rsidRPr="00270B97">
        <w:rPr>
          <w:rFonts w:ascii="Times New Roman" w:hAnsi="Times New Roman"/>
          <w:bCs/>
          <w:color w:val="000000"/>
          <w:sz w:val="24"/>
          <w:szCs w:val="24"/>
          <w:highlight w:val="yellow"/>
        </w:rPr>
        <w:t xml:space="preserve"> powder and pelleted into a </w:t>
      </w:r>
      <w:proofErr w:type="spellStart"/>
      <w:r w:rsidRPr="00270B97">
        <w:rPr>
          <w:rFonts w:ascii="Times New Roman" w:hAnsi="Times New Roman"/>
          <w:bCs/>
          <w:color w:val="000000"/>
          <w:sz w:val="24"/>
          <w:szCs w:val="24"/>
          <w:highlight w:val="yellow"/>
        </w:rPr>
        <w:t>KBr</w:t>
      </w:r>
      <w:proofErr w:type="spellEnd"/>
      <w:r w:rsidRPr="00270B97">
        <w:rPr>
          <w:rFonts w:ascii="Times New Roman" w:hAnsi="Times New Roman"/>
          <w:bCs/>
          <w:color w:val="000000"/>
          <w:sz w:val="24"/>
          <w:szCs w:val="24"/>
          <w:highlight w:val="yellow"/>
        </w:rPr>
        <w:t xml:space="preserve"> disc using </w:t>
      </w:r>
      <w:r w:rsidRPr="00270B97">
        <w:rPr>
          <w:rFonts w:ascii="Times New Roman" w:hAnsi="Times New Roman"/>
          <w:bCs/>
          <w:noProof/>
          <w:color w:val="000000"/>
          <w:sz w:val="24"/>
          <w:szCs w:val="24"/>
          <w:highlight w:val="yellow"/>
        </w:rPr>
        <w:t>hydraulic</w:t>
      </w:r>
      <w:r w:rsidRPr="00270B97">
        <w:rPr>
          <w:rFonts w:ascii="Times New Roman" w:hAnsi="Times New Roman"/>
          <w:bCs/>
          <w:color w:val="000000"/>
          <w:sz w:val="24"/>
          <w:szCs w:val="24"/>
          <w:highlight w:val="yellow"/>
        </w:rPr>
        <w:t xml:space="preserve"> pressure. </w:t>
      </w:r>
      <w:r w:rsidRPr="00270B97">
        <w:rPr>
          <w:rFonts w:ascii="Times New Roman" w:hAnsi="Times New Roman"/>
          <w:bCs/>
          <w:noProof/>
          <w:color w:val="000000"/>
          <w:sz w:val="24"/>
          <w:szCs w:val="24"/>
          <w:highlight w:val="yellow"/>
        </w:rPr>
        <w:t>Further,</w:t>
      </w:r>
      <w:r w:rsidRPr="00270B97">
        <w:rPr>
          <w:rFonts w:ascii="Times New Roman" w:hAnsi="Times New Roman"/>
          <w:bCs/>
          <w:color w:val="000000"/>
          <w:sz w:val="24"/>
          <w:szCs w:val="24"/>
          <w:highlight w:val="yellow"/>
        </w:rPr>
        <w:t xml:space="preserve"> the analysis was performed between 4000 and 500 cm</w:t>
      </w:r>
      <w:r w:rsidRPr="00270B97">
        <w:rPr>
          <w:rFonts w:ascii="Times New Roman" w:hAnsi="Times New Roman"/>
          <w:bCs/>
          <w:color w:val="000000"/>
          <w:sz w:val="24"/>
          <w:szCs w:val="24"/>
          <w:highlight w:val="yellow"/>
          <w:vertAlign w:val="superscript"/>
        </w:rPr>
        <w:t>-1</w:t>
      </w:r>
      <w:r w:rsidRPr="00270B97">
        <w:rPr>
          <w:rFonts w:ascii="Times New Roman" w:hAnsi="Times New Roman"/>
          <w:bCs/>
          <w:color w:val="000000"/>
          <w:sz w:val="24"/>
          <w:szCs w:val="24"/>
          <w:highlight w:val="yellow"/>
        </w:rPr>
        <w:t>.</w:t>
      </w:r>
    </w:p>
    <w:p w:rsidR="00270B97" w:rsidRDefault="00270B97" w:rsidP="000D220E">
      <w:pPr>
        <w:jc w:val="both"/>
        <w:rPr>
          <w:rFonts w:ascii="Times New Roman" w:hAnsi="Times New Roman" w:cs="Times New Roman"/>
          <w:sz w:val="24"/>
          <w:szCs w:val="24"/>
        </w:rPr>
      </w:pPr>
      <w:r w:rsidRPr="00696642">
        <w:rPr>
          <w:rFonts w:ascii="Times New Roman" w:hAnsi="Times New Roman" w:cs="Times New Roman"/>
          <w:sz w:val="24"/>
          <w:szCs w:val="24"/>
        </w:rPr>
        <w:t>NMR spectra were recorded at Department of Pharmaceutical Sciences and Technology, Institute of Che</w:t>
      </w:r>
      <w:r>
        <w:rPr>
          <w:rFonts w:ascii="Times New Roman" w:hAnsi="Times New Roman" w:cs="Times New Roman"/>
          <w:sz w:val="24"/>
          <w:szCs w:val="24"/>
        </w:rPr>
        <w:t xml:space="preserve">mical Technology, Mumbai. </w:t>
      </w:r>
      <w:r w:rsidR="00F102E5">
        <w:rPr>
          <w:rFonts w:ascii="Times New Roman" w:hAnsi="Times New Roman" w:cs="Times New Roman"/>
          <w:sz w:val="24"/>
          <w:szCs w:val="24"/>
        </w:rPr>
        <w:t>NMR</w:t>
      </w:r>
      <w:r w:rsidR="00F102E5" w:rsidRPr="00696642">
        <w:rPr>
          <w:rFonts w:ascii="Times New Roman" w:hAnsi="Times New Roman" w:cs="Times New Roman"/>
          <w:sz w:val="24"/>
          <w:szCs w:val="24"/>
        </w:rPr>
        <w:t xml:space="preserve"> 1H and 13C spectra were recorded at 400 MHz and </w:t>
      </w:r>
      <w:proofErr w:type="gramStart"/>
      <w:r w:rsidR="00F102E5" w:rsidRPr="00696642">
        <w:rPr>
          <w:rFonts w:ascii="Times New Roman" w:hAnsi="Times New Roman" w:cs="Times New Roman"/>
          <w:sz w:val="24"/>
          <w:szCs w:val="24"/>
        </w:rPr>
        <w:t xml:space="preserve">101 MHz </w:t>
      </w:r>
      <w:r w:rsidRPr="00696642">
        <w:rPr>
          <w:rFonts w:ascii="Times New Roman" w:hAnsi="Times New Roman" w:cs="Times New Roman"/>
          <w:sz w:val="24"/>
          <w:szCs w:val="24"/>
        </w:rPr>
        <w:t>Agilent Technology NMR spectrometer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2E5" w:rsidRPr="00696642">
        <w:rPr>
          <w:rFonts w:ascii="Times New Roman" w:hAnsi="Times New Roman" w:cs="Times New Roman"/>
          <w:sz w:val="24"/>
          <w:szCs w:val="24"/>
        </w:rPr>
        <w:t>respectively</w:t>
      </w:r>
      <w:proofErr w:type="gramEnd"/>
      <w:r w:rsidR="00F102E5" w:rsidRPr="00696642">
        <w:rPr>
          <w:rFonts w:ascii="Times New Roman" w:hAnsi="Times New Roman" w:cs="Times New Roman"/>
          <w:sz w:val="24"/>
          <w:szCs w:val="24"/>
        </w:rPr>
        <w:t xml:space="preserve">. The chemical shifts are expressed in ppm relative to </w:t>
      </w:r>
      <w:proofErr w:type="spellStart"/>
      <w:r w:rsidR="00F102E5" w:rsidRPr="00696642">
        <w:rPr>
          <w:rFonts w:ascii="Times New Roman" w:hAnsi="Times New Roman" w:cs="Times New Roman"/>
          <w:sz w:val="24"/>
          <w:szCs w:val="24"/>
        </w:rPr>
        <w:t>tetramethylsil</w:t>
      </w:r>
      <w:r>
        <w:rPr>
          <w:rFonts w:ascii="Times New Roman" w:hAnsi="Times New Roman" w:cs="Times New Roman"/>
          <w:sz w:val="24"/>
          <w:szCs w:val="24"/>
        </w:rPr>
        <w:t>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(TMS) as internal reference</w:t>
      </w:r>
      <w:r w:rsidR="00F102E5" w:rsidRPr="00696642">
        <w:rPr>
          <w:rFonts w:ascii="Times New Roman" w:hAnsi="Times New Roman" w:cs="Times New Roman"/>
          <w:sz w:val="24"/>
          <w:szCs w:val="24"/>
        </w:rPr>
        <w:t xml:space="preserve">. </w:t>
      </w:r>
      <w:r w:rsidRPr="00696642">
        <w:rPr>
          <w:rFonts w:ascii="Times New Roman" w:hAnsi="Times New Roman" w:cs="Times New Roman"/>
          <w:sz w:val="24"/>
          <w:szCs w:val="24"/>
        </w:rPr>
        <w:t>Chemical shifts are expressed in ppm (δ-scale) and coupling constants (</w:t>
      </w:r>
      <w:r w:rsidRPr="00696642">
        <w:rPr>
          <w:rFonts w:ascii="Times New Roman" w:hAnsi="Times New Roman" w:cs="Times New Roman"/>
          <w:i/>
          <w:sz w:val="24"/>
          <w:szCs w:val="24"/>
        </w:rPr>
        <w:t>J</w:t>
      </w:r>
      <w:r w:rsidRPr="00696642">
        <w:rPr>
          <w:rFonts w:ascii="Times New Roman" w:hAnsi="Times New Roman" w:cs="Times New Roman"/>
          <w:sz w:val="24"/>
          <w:szCs w:val="24"/>
        </w:rPr>
        <w:t>) in Hz.</w:t>
      </w:r>
      <w:r>
        <w:rPr>
          <w:rFonts w:ascii="Times New Roman" w:hAnsi="Times New Roman" w:cs="Times New Roman"/>
          <w:sz w:val="24"/>
          <w:szCs w:val="24"/>
        </w:rPr>
        <w:t xml:space="preserve"> Splitting patterns are described as singlet (s), doublet (d), triplet (t), quartet (q),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(m). </w:t>
      </w:r>
    </w:p>
    <w:p w:rsidR="00F102E5" w:rsidRDefault="00F102E5" w:rsidP="00CC67EA">
      <w:pPr>
        <w:jc w:val="both"/>
        <w:rPr>
          <w:rFonts w:ascii="Times New Roman" w:hAnsi="Times New Roman" w:cs="Times New Roman"/>
          <w:sz w:val="24"/>
          <w:szCs w:val="24"/>
        </w:rPr>
      </w:pPr>
      <w:r w:rsidRPr="00696642">
        <w:rPr>
          <w:rFonts w:ascii="Times New Roman" w:hAnsi="Times New Roman" w:cs="Times New Roman"/>
          <w:sz w:val="24"/>
          <w:szCs w:val="24"/>
        </w:rPr>
        <w:t xml:space="preserve">MALDI-TOF </w:t>
      </w:r>
      <w:r w:rsidR="00DF2867" w:rsidRPr="00696642">
        <w:rPr>
          <w:rFonts w:ascii="Times New Roman" w:hAnsi="Times New Roman" w:cs="Times New Roman"/>
          <w:sz w:val="24"/>
          <w:szCs w:val="24"/>
        </w:rPr>
        <w:t>was</w:t>
      </w:r>
      <w:r w:rsidRPr="00696642">
        <w:rPr>
          <w:rFonts w:ascii="Times New Roman" w:hAnsi="Times New Roman" w:cs="Times New Roman"/>
          <w:sz w:val="24"/>
          <w:szCs w:val="24"/>
        </w:rPr>
        <w:t xml:space="preserve"> recorded at Biosciences &amp; Bioengineering, Indian </w:t>
      </w:r>
      <w:r w:rsidR="00270B97">
        <w:rPr>
          <w:rFonts w:ascii="Times New Roman" w:hAnsi="Times New Roman" w:cs="Times New Roman"/>
          <w:sz w:val="24"/>
          <w:szCs w:val="24"/>
        </w:rPr>
        <w:t>Institute of Technology Bombay.</w:t>
      </w:r>
    </w:p>
    <w:p w:rsidR="00F102E5" w:rsidRPr="0025357D" w:rsidRDefault="0025357D" w:rsidP="0025357D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102E5" w:rsidRPr="0025357D">
        <w:rPr>
          <w:rFonts w:ascii="Times New Roman" w:hAnsi="Times New Roman" w:cs="Times New Roman"/>
          <w:b/>
          <w:sz w:val="24"/>
          <w:szCs w:val="24"/>
        </w:rPr>
        <w:t>SPECTROSCOPIC DATA</w:t>
      </w:r>
    </w:p>
    <w:p w:rsidR="00F102E5" w:rsidRPr="00810ABB" w:rsidRDefault="00F102E5" w:rsidP="00F102E5">
      <w:pPr>
        <w:spacing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proofErr w:type="spellStart"/>
      <w:r w:rsidRPr="00810ABB">
        <w:rPr>
          <w:rFonts w:ascii="Times New Roman" w:hAnsi="Times New Roman" w:cs="Times New Roman"/>
          <w:b/>
          <w:bCs/>
          <w:sz w:val="24"/>
          <w:szCs w:val="24"/>
        </w:rPr>
        <w:t>Isonicotinoylhydrazonoacetic</w:t>
      </w:r>
      <w:proofErr w:type="spellEnd"/>
      <w:r w:rsidRPr="00810ABB">
        <w:rPr>
          <w:rFonts w:ascii="Times New Roman" w:hAnsi="Times New Roman" w:cs="Times New Roman"/>
          <w:b/>
          <w:bCs/>
          <w:sz w:val="24"/>
          <w:szCs w:val="24"/>
        </w:rPr>
        <w:t xml:space="preserve"> acid (2)</w:t>
      </w:r>
      <w:r w:rsidRPr="00810AB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:rsidR="00F102E5" w:rsidRPr="00810ABB" w:rsidRDefault="00F102E5" w:rsidP="00F102E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51283DE9" wp14:editId="0FDBECAA">
            <wp:extent cx="1352550" cy="709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90" cy="71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102E5" w:rsidRPr="00810ABB" w:rsidRDefault="00F102E5" w:rsidP="00CC67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ABB">
        <w:rPr>
          <w:rFonts w:ascii="Times New Roman" w:hAnsi="Times New Roman" w:cs="Times New Roman"/>
          <w:sz w:val="24"/>
          <w:szCs w:val="24"/>
        </w:rPr>
        <w:t xml:space="preserve">White solid; Yield: 92%; </w:t>
      </w:r>
      <w:r w:rsidRPr="00810AB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10ABB">
        <w:rPr>
          <w:rFonts w:ascii="Times New Roman" w:hAnsi="Times New Roman" w:cs="Times New Roman"/>
          <w:sz w:val="24"/>
          <w:szCs w:val="24"/>
        </w:rPr>
        <w:t xml:space="preserve">H NMR (400 MHz, DMSO) δ 12.38 (s, 1H), 8.73 (d, </w:t>
      </w:r>
      <w:r w:rsidRPr="00810ABB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810ABB">
        <w:rPr>
          <w:rFonts w:ascii="Times New Roman" w:hAnsi="Times New Roman" w:cs="Times New Roman"/>
          <w:sz w:val="24"/>
          <w:szCs w:val="24"/>
        </w:rPr>
        <w:t xml:space="preserve"> = 36.5 Hz, 2H), 7.74 (d, </w:t>
      </w:r>
      <w:r w:rsidRPr="00810ABB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810ABB">
        <w:rPr>
          <w:rFonts w:ascii="Times New Roman" w:hAnsi="Times New Roman" w:cs="Times New Roman"/>
          <w:sz w:val="24"/>
          <w:szCs w:val="24"/>
        </w:rPr>
        <w:t xml:space="preserve"> = 25.3 Hz, 2H), 7.39 (s, 1H), 5.72 (s, 1H); </w:t>
      </w:r>
      <w:r w:rsidRPr="00810AB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810ABB">
        <w:rPr>
          <w:rFonts w:ascii="Times New Roman" w:hAnsi="Times New Roman" w:cs="Times New Roman"/>
          <w:sz w:val="24"/>
          <w:szCs w:val="24"/>
        </w:rPr>
        <w:t xml:space="preserve">C NMR (101 MHz, DMSO) δ 164.89 (s), 162.93 (s), 150.88 (s), 140.45 (s), 140.05 (s), 122.02 (s). </w:t>
      </w:r>
      <w:r w:rsidRPr="00810ABB">
        <w:rPr>
          <w:rFonts w:ascii="Times New Roman" w:hAnsi="Times New Roman" w:cs="Times New Roman"/>
          <w:color w:val="000000" w:themeColor="text1"/>
          <w:sz w:val="24"/>
          <w:szCs w:val="24"/>
        </w:rPr>
        <w:t>HRMS-ESI calculated 193.1; found 193.1</w:t>
      </w:r>
    </w:p>
    <w:p w:rsidR="00F102E5" w:rsidRPr="00810ABB" w:rsidRDefault="00F102E5" w:rsidP="00F102E5">
      <w:pPr>
        <w:spacing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ABB">
        <w:rPr>
          <w:rFonts w:ascii="Times New Roman" w:hAnsi="Times New Roman" w:cs="Times New Roman"/>
          <w:b/>
          <w:sz w:val="24"/>
          <w:szCs w:val="24"/>
        </w:rPr>
        <w:t>I</w:t>
      </w:r>
      <w:r w:rsidRPr="00810ABB">
        <w:rPr>
          <w:rFonts w:ascii="Times New Roman" w:hAnsi="Times New Roman" w:cs="Times New Roman"/>
          <w:b/>
          <w:bCs/>
          <w:noProof/>
          <w:sz w:val="24"/>
          <w:szCs w:val="24"/>
        </w:rPr>
        <w:t>sonicotinoylhydrazinyl</w:t>
      </w:r>
      <w:r w:rsidRPr="00810ABB">
        <w:rPr>
          <w:rFonts w:ascii="Times New Roman" w:hAnsi="Times New Roman" w:cs="Times New Roman"/>
          <w:b/>
          <w:bCs/>
          <w:sz w:val="24"/>
          <w:szCs w:val="24"/>
        </w:rPr>
        <w:t>-5-</w:t>
      </w:r>
      <w:r w:rsidRPr="00810ABB">
        <w:rPr>
          <w:rFonts w:ascii="Times New Roman" w:hAnsi="Times New Roman" w:cs="Times New Roman"/>
          <w:b/>
          <w:bCs/>
          <w:noProof/>
          <w:sz w:val="24"/>
          <w:szCs w:val="24"/>
        </w:rPr>
        <w:t>oxopentanoic</w:t>
      </w:r>
      <w:r w:rsidRPr="00810ABB">
        <w:rPr>
          <w:rFonts w:ascii="Times New Roman" w:hAnsi="Times New Roman" w:cs="Times New Roman"/>
          <w:b/>
          <w:bCs/>
          <w:sz w:val="24"/>
          <w:szCs w:val="24"/>
        </w:rPr>
        <w:t xml:space="preserve"> acid (3)</w:t>
      </w:r>
    </w:p>
    <w:p w:rsidR="00F102E5" w:rsidRPr="00810ABB" w:rsidRDefault="00F102E5" w:rsidP="00F102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5404EADF" wp14:editId="5BB34B1F">
            <wp:extent cx="1876425" cy="8572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2E5" w:rsidRPr="00810ABB" w:rsidRDefault="00F102E5" w:rsidP="00CC67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ABB">
        <w:rPr>
          <w:rFonts w:ascii="Times New Roman" w:hAnsi="Times New Roman" w:cs="Times New Roman"/>
          <w:sz w:val="24"/>
          <w:szCs w:val="24"/>
        </w:rPr>
        <w:t>White solid; Yield: 90%;</w:t>
      </w:r>
      <w:r w:rsidRPr="00810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AB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10ABB">
        <w:rPr>
          <w:rFonts w:ascii="Times New Roman" w:hAnsi="Times New Roman" w:cs="Times New Roman"/>
          <w:sz w:val="24"/>
          <w:szCs w:val="24"/>
        </w:rPr>
        <w:t xml:space="preserve">H NMR (400 MHz, DMSO) δ 12.03 (s, 1H), 10.58 (s, 1H), 9.96 (s, 1H), 8.73 (d, </w:t>
      </w:r>
      <w:r w:rsidRPr="00810ABB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810ABB">
        <w:rPr>
          <w:rFonts w:ascii="Times New Roman" w:hAnsi="Times New Roman" w:cs="Times New Roman"/>
          <w:sz w:val="24"/>
          <w:szCs w:val="24"/>
        </w:rPr>
        <w:t xml:space="preserve"> = 5.1 Hz, 2H), 7.73 (d, </w:t>
      </w:r>
      <w:r w:rsidRPr="00810ABB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810ABB">
        <w:rPr>
          <w:rFonts w:ascii="Times New Roman" w:hAnsi="Times New Roman" w:cs="Times New Roman"/>
          <w:sz w:val="24"/>
          <w:szCs w:val="24"/>
        </w:rPr>
        <w:t xml:space="preserve"> = 5.6 Hz, 2H), 2.28-2.19 (</w:t>
      </w:r>
      <w:proofErr w:type="spellStart"/>
      <w:r w:rsidRPr="00810ABB">
        <w:rPr>
          <w:rFonts w:ascii="Times New Roman" w:hAnsi="Times New Roman" w:cs="Times New Roman"/>
          <w:noProof/>
          <w:sz w:val="24"/>
          <w:szCs w:val="24"/>
        </w:rPr>
        <w:t>dt</w:t>
      </w:r>
      <w:proofErr w:type="spellEnd"/>
      <w:r w:rsidRPr="00810ABB">
        <w:rPr>
          <w:rFonts w:ascii="Times New Roman" w:hAnsi="Times New Roman" w:cs="Times New Roman"/>
          <w:sz w:val="24"/>
          <w:szCs w:val="24"/>
        </w:rPr>
        <w:t xml:space="preserve">, </w:t>
      </w:r>
      <w:r w:rsidRPr="00810ABB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810ABB">
        <w:rPr>
          <w:rFonts w:ascii="Times New Roman" w:hAnsi="Times New Roman" w:cs="Times New Roman"/>
          <w:sz w:val="24"/>
          <w:szCs w:val="24"/>
        </w:rPr>
        <w:t xml:space="preserve"> = 23.3, 7.2 Hz, 4H), 1.78 – 1.70 (m, 2H); </w:t>
      </w:r>
      <w:r w:rsidRPr="00810AB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810ABB">
        <w:rPr>
          <w:rFonts w:ascii="Times New Roman" w:hAnsi="Times New Roman" w:cs="Times New Roman"/>
          <w:sz w:val="24"/>
          <w:szCs w:val="24"/>
        </w:rPr>
        <w:t xml:space="preserve">C NMR (101 MHz, DMSO) δ 174.55 (s), 171.52 (s), 164.38 (s), 150.83 (s), 139.87 (s), 121.71 (s), 33.18 (s), 32.77 (s), 20.87 (s). </w:t>
      </w:r>
      <w:r w:rsidRPr="00810ABB">
        <w:rPr>
          <w:rFonts w:ascii="Times New Roman" w:hAnsi="Times New Roman" w:cs="Times New Roman"/>
          <w:color w:val="000000" w:themeColor="text1"/>
          <w:sz w:val="24"/>
          <w:szCs w:val="24"/>
        </w:rPr>
        <w:t>HRMS-ESI calculated 251.09; found 251.09</w:t>
      </w:r>
    </w:p>
    <w:p w:rsidR="00F102E5" w:rsidRPr="00CC67EA" w:rsidRDefault="0025357D" w:rsidP="0025357D">
      <w:pPr>
        <w:spacing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102E5" w:rsidRPr="00CC67EA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F102E5" w:rsidRPr="00F102E5" w:rsidRDefault="00F102E5" w:rsidP="007737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E5">
        <w:rPr>
          <w:rFonts w:ascii="Times New Roman" w:hAnsi="Times New Roman"/>
          <w:noProof/>
          <w:sz w:val="24"/>
          <w:szCs w:val="24"/>
        </w:rPr>
        <w:lastRenderedPageBreak/>
        <w:t xml:space="preserve">Kata H., Gábor M., Nóra S.,Ferenc H., Szilvia B. (2009) Peptide conjugates of therapeutically used antitubercular isoniazid-design, synthesis and antimycobacterial effect. </w:t>
      </w:r>
      <w:r w:rsidRPr="00F102E5">
        <w:rPr>
          <w:rFonts w:ascii="Times New Roman" w:hAnsi="Times New Roman"/>
          <w:i/>
          <w:iCs/>
          <w:noProof/>
          <w:sz w:val="24"/>
          <w:szCs w:val="24"/>
        </w:rPr>
        <w:t>J. Pept. Sci.</w:t>
      </w:r>
      <w:r w:rsidRPr="00F102E5">
        <w:rPr>
          <w:rFonts w:ascii="Times New Roman" w:hAnsi="Times New Roman"/>
          <w:noProof/>
          <w:sz w:val="24"/>
          <w:szCs w:val="24"/>
        </w:rPr>
        <w:t xml:space="preserve"> </w:t>
      </w:r>
      <w:r w:rsidRPr="00F102E5">
        <w:rPr>
          <w:rFonts w:ascii="Times New Roman" w:hAnsi="Times New Roman"/>
          <w:i/>
          <w:iCs/>
          <w:noProof/>
          <w:sz w:val="24"/>
          <w:szCs w:val="24"/>
        </w:rPr>
        <w:t>15</w:t>
      </w:r>
      <w:r w:rsidRPr="00F102E5">
        <w:rPr>
          <w:rFonts w:ascii="Times New Roman" w:hAnsi="Times New Roman"/>
          <w:i/>
          <w:noProof/>
          <w:sz w:val="24"/>
          <w:szCs w:val="24"/>
        </w:rPr>
        <w:t xml:space="preserve"> (5)</w:t>
      </w:r>
      <w:r w:rsidRPr="00F102E5">
        <w:rPr>
          <w:rFonts w:ascii="Times New Roman" w:hAnsi="Times New Roman"/>
          <w:noProof/>
          <w:sz w:val="24"/>
          <w:szCs w:val="24"/>
        </w:rPr>
        <w:t>, 385–391.</w:t>
      </w:r>
    </w:p>
    <w:p w:rsidR="00ED1362" w:rsidRDefault="0025357D" w:rsidP="0025357D">
      <w:pPr>
        <w:keepNext/>
        <w:spacing w:after="0" w:line="360" w:lineRule="auto"/>
        <w:jc w:val="both"/>
        <w:rPr>
          <w:noProof/>
          <w:lang w:eastAsia="en-IN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ED1362" w:rsidRPr="00270B97">
        <w:rPr>
          <w:rFonts w:ascii="Times New Roman" w:hAnsi="Times New Roman"/>
          <w:b/>
          <w:sz w:val="24"/>
          <w:szCs w:val="24"/>
          <w:highlight w:val="yellow"/>
        </w:rPr>
        <w:t>FTIR</w:t>
      </w:r>
      <w:r w:rsidR="00ED1362">
        <w:rPr>
          <w:rFonts w:ascii="Times New Roman" w:hAnsi="Times New Roman"/>
          <w:b/>
          <w:sz w:val="24"/>
          <w:szCs w:val="24"/>
        </w:rPr>
        <w:t xml:space="preserve">, </w:t>
      </w:r>
      <w:r w:rsidRPr="0025357D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5357D">
        <w:rPr>
          <w:rFonts w:ascii="Times New Roman" w:hAnsi="Times New Roman"/>
          <w:b/>
          <w:sz w:val="24"/>
          <w:szCs w:val="24"/>
        </w:rPr>
        <w:t xml:space="preserve">H, </w:t>
      </w:r>
      <w:r w:rsidRPr="0025357D">
        <w:rPr>
          <w:rFonts w:ascii="Times New Roman" w:hAnsi="Times New Roman"/>
          <w:b/>
          <w:sz w:val="24"/>
          <w:szCs w:val="24"/>
          <w:vertAlign w:val="superscript"/>
        </w:rPr>
        <w:t>13</w:t>
      </w:r>
      <w:r w:rsidRPr="0025357D">
        <w:rPr>
          <w:rFonts w:ascii="Times New Roman" w:hAnsi="Times New Roman"/>
          <w:b/>
          <w:sz w:val="24"/>
          <w:szCs w:val="24"/>
        </w:rPr>
        <w:t>C NMR SPECTRA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5357D">
        <w:rPr>
          <w:rFonts w:ascii="Times New Roman" w:hAnsi="Times New Roman"/>
          <w:b/>
          <w:sz w:val="24"/>
          <w:szCs w:val="24"/>
        </w:rPr>
        <w:t>CALIBRATI</w:t>
      </w:r>
      <w:r w:rsidR="00ED1362">
        <w:rPr>
          <w:rFonts w:ascii="Times New Roman" w:hAnsi="Times New Roman"/>
          <w:b/>
          <w:sz w:val="24"/>
          <w:szCs w:val="24"/>
        </w:rPr>
        <w:t xml:space="preserve">ON CURVE (TNBS ASSAY), AND MASS </w:t>
      </w:r>
      <w:r w:rsidRPr="0025357D">
        <w:rPr>
          <w:rFonts w:ascii="Times New Roman" w:hAnsi="Times New Roman"/>
          <w:b/>
          <w:sz w:val="24"/>
          <w:szCs w:val="24"/>
        </w:rPr>
        <w:t>SPECTRA</w:t>
      </w:r>
      <w:r>
        <w:rPr>
          <w:noProof/>
          <w:lang w:eastAsia="en-IN"/>
        </w:rPr>
        <w:t xml:space="preserve"> </w:t>
      </w:r>
    </w:p>
    <w:p w:rsidR="00ED1362" w:rsidRPr="00B75A8E" w:rsidRDefault="00ED1362" w:rsidP="00773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noProof/>
          <w:color w:val="000000"/>
          <w:sz w:val="24"/>
          <w:szCs w:val="24"/>
          <w:lang w:eastAsia="en-IN"/>
        </w:rPr>
        <w:drawing>
          <wp:inline distT="0" distB="0" distL="0" distR="0">
            <wp:extent cx="3625850" cy="3413125"/>
            <wp:effectExtent l="0" t="0" r="0" b="0"/>
            <wp:docPr id="10" name="Picture 10" descr="paper 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i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362" w:rsidRPr="00B75A8E" w:rsidRDefault="00ED1362" w:rsidP="00773775">
      <w:pPr>
        <w:pStyle w:val="Caption"/>
        <w:spacing w:after="0" w:line="360" w:lineRule="auto"/>
        <w:jc w:val="center"/>
        <w:rPr>
          <w:rFonts w:ascii="Times New Roman" w:eastAsia="MinionPro-Regular" w:hAnsi="Times New Roman"/>
          <w:b w:val="0"/>
          <w:color w:val="000000"/>
          <w:sz w:val="24"/>
          <w:szCs w:val="24"/>
        </w:rPr>
      </w:pPr>
      <w:r w:rsidRPr="00270B97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Figure S1: </w:t>
      </w:r>
      <w:r w:rsidRPr="00270B97">
        <w:rPr>
          <w:rFonts w:ascii="Times New Roman" w:hAnsi="Times New Roman"/>
          <w:b w:val="0"/>
          <w:color w:val="000000"/>
          <w:sz w:val="24"/>
          <w:szCs w:val="24"/>
          <w:highlight w:val="yellow"/>
        </w:rPr>
        <w:t xml:space="preserve">FTIR spectra of IG, IH, </w:t>
      </w:r>
      <w:proofErr w:type="spellStart"/>
      <w:r w:rsidRPr="00270B97">
        <w:rPr>
          <w:rFonts w:ascii="Times New Roman" w:hAnsi="Times New Roman"/>
          <w:b w:val="0"/>
          <w:color w:val="000000"/>
          <w:sz w:val="24"/>
          <w:szCs w:val="24"/>
          <w:highlight w:val="yellow"/>
        </w:rPr>
        <w:t>Tf</w:t>
      </w:r>
      <w:proofErr w:type="spellEnd"/>
      <w:r w:rsidRPr="00270B97">
        <w:rPr>
          <w:rFonts w:ascii="Times New Roman" w:hAnsi="Times New Roman"/>
          <w:b w:val="0"/>
          <w:color w:val="000000"/>
          <w:sz w:val="24"/>
          <w:szCs w:val="24"/>
          <w:highlight w:val="yellow"/>
        </w:rPr>
        <w:t xml:space="preserve">, </w:t>
      </w:r>
      <w:proofErr w:type="spellStart"/>
      <w:r w:rsidRPr="00270B97">
        <w:rPr>
          <w:rFonts w:ascii="Times New Roman" w:hAnsi="Times New Roman"/>
          <w:b w:val="0"/>
          <w:color w:val="000000"/>
          <w:sz w:val="24"/>
          <w:szCs w:val="24"/>
          <w:highlight w:val="yellow"/>
        </w:rPr>
        <w:t>Tf</w:t>
      </w:r>
      <w:proofErr w:type="spellEnd"/>
      <w:r w:rsidRPr="00270B97">
        <w:rPr>
          <w:rFonts w:ascii="Times New Roman" w:hAnsi="Times New Roman"/>
          <w:b w:val="0"/>
          <w:color w:val="000000"/>
          <w:sz w:val="24"/>
          <w:szCs w:val="24"/>
          <w:highlight w:val="yellow"/>
        </w:rPr>
        <w:t xml:space="preserve">-IG, </w:t>
      </w:r>
      <w:r w:rsidRPr="00270B97">
        <w:rPr>
          <w:rFonts w:ascii="Times New Roman" w:hAnsi="Times New Roman"/>
          <w:b w:val="0"/>
          <w:noProof/>
          <w:color w:val="000000"/>
          <w:sz w:val="24"/>
          <w:szCs w:val="24"/>
          <w:highlight w:val="yellow"/>
        </w:rPr>
        <w:t>and</w:t>
      </w:r>
      <w:r w:rsidRPr="00270B97">
        <w:rPr>
          <w:rFonts w:ascii="Times New Roman" w:hAnsi="Times New Roman"/>
          <w:b w:val="0"/>
          <w:color w:val="000000"/>
          <w:sz w:val="24"/>
          <w:szCs w:val="24"/>
          <w:highlight w:val="yellow"/>
        </w:rPr>
        <w:t xml:space="preserve"> </w:t>
      </w:r>
      <w:proofErr w:type="spellStart"/>
      <w:r w:rsidRPr="00270B97">
        <w:rPr>
          <w:rFonts w:ascii="Times New Roman" w:hAnsi="Times New Roman"/>
          <w:b w:val="0"/>
          <w:color w:val="000000"/>
          <w:sz w:val="24"/>
          <w:szCs w:val="24"/>
          <w:highlight w:val="yellow"/>
        </w:rPr>
        <w:t>Tf</w:t>
      </w:r>
      <w:proofErr w:type="spellEnd"/>
      <w:r w:rsidRPr="00270B97">
        <w:rPr>
          <w:rFonts w:ascii="Times New Roman" w:hAnsi="Times New Roman"/>
          <w:b w:val="0"/>
          <w:color w:val="000000"/>
          <w:sz w:val="24"/>
          <w:szCs w:val="24"/>
          <w:highlight w:val="yellow"/>
        </w:rPr>
        <w:t>-IH</w:t>
      </w:r>
    </w:p>
    <w:p w:rsidR="00F102E5" w:rsidRDefault="00F102E5" w:rsidP="00773775">
      <w:pPr>
        <w:keepNext/>
        <w:spacing w:after="0" w:line="240" w:lineRule="auto"/>
        <w:jc w:val="both"/>
      </w:pPr>
      <w:r>
        <w:rPr>
          <w:noProof/>
          <w:lang w:eastAsia="en-IN"/>
        </w:rPr>
        <w:drawing>
          <wp:inline distT="0" distB="0" distL="0" distR="0" wp14:anchorId="6F0F58A1" wp14:editId="3AC81133">
            <wp:extent cx="5874589" cy="3702735"/>
            <wp:effectExtent l="0" t="0" r="0" b="0"/>
            <wp:docPr id="1" name="Picture 1" descr="D:\Yogesh\Ph.D\Thesis\curcumin\tb\work\manuscript\NMR\IH 1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ogesh\Ph.D\Thesis\curcumin\tb\work\manuscript\NMR\IH 1H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092" cy="37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E5" w:rsidRPr="00F102E5" w:rsidRDefault="00F102E5" w:rsidP="00CC67EA">
      <w:pPr>
        <w:pStyle w:val="Caption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0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="00F6353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D136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102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02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1H NMR of </w:t>
      </w:r>
      <w:proofErr w:type="spellStart"/>
      <w:r w:rsidRPr="00F102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Isonicotinoylhydrazono</w:t>
      </w:r>
      <w:proofErr w:type="spellEnd"/>
      <w:r w:rsidRPr="00F102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acetic acid (</w:t>
      </w:r>
      <w:r w:rsidRPr="00F102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102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 (400 MHz, DMSO)</w:t>
      </w:r>
    </w:p>
    <w:p w:rsidR="00F102E5" w:rsidRDefault="00F102E5" w:rsidP="0025357D">
      <w:pPr>
        <w:keepNext/>
        <w:spacing w:after="0" w:line="360" w:lineRule="auto"/>
        <w:jc w:val="center"/>
      </w:pPr>
      <w:r w:rsidRPr="00F42041">
        <w:rPr>
          <w:rFonts w:ascii="Times New Roman" w:hAnsi="Times New Roman" w:cs="Times New Roman"/>
          <w:bCs/>
          <w:noProof/>
          <w:sz w:val="24"/>
          <w:szCs w:val="24"/>
          <w:vertAlign w:val="superscript"/>
          <w:lang w:eastAsia="en-IN"/>
        </w:rPr>
        <w:lastRenderedPageBreak/>
        <w:drawing>
          <wp:inline distT="0" distB="0" distL="0" distR="0" wp14:anchorId="12C7D311" wp14:editId="16F8F185">
            <wp:extent cx="5668649" cy="3657600"/>
            <wp:effectExtent l="0" t="0" r="8255" b="0"/>
            <wp:docPr id="2" name="Picture 3" descr="D:\Yogesh\Ph.D\Thesis\curcumin\tb\work\manuscript\NMR\IH 13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ogesh\Ph.D\Thesis\curcumin\tb\work\manuscript\NMR\IH 13C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412" cy="367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E5" w:rsidRDefault="00F102E5" w:rsidP="00F102E5">
      <w:pPr>
        <w:pStyle w:val="Caption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10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="00F6353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D136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102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02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13C NMR of </w:t>
      </w:r>
      <w:proofErr w:type="spellStart"/>
      <w:r w:rsidRPr="00F102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Isonicotinoylhydrazono</w:t>
      </w:r>
      <w:proofErr w:type="spellEnd"/>
      <w:r w:rsidRPr="00F102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acetic acid (</w:t>
      </w:r>
      <w:r w:rsidRPr="00F102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102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 (101 MHz, DMSO)</w:t>
      </w:r>
    </w:p>
    <w:p w:rsidR="00F102E5" w:rsidRDefault="00F102E5" w:rsidP="00CC67EA">
      <w:pPr>
        <w:keepNext/>
        <w:spacing w:after="0" w:line="360" w:lineRule="auto"/>
        <w:jc w:val="center"/>
      </w:pPr>
      <w:r>
        <w:rPr>
          <w:noProof/>
          <w:lang w:eastAsia="en-IN"/>
        </w:rPr>
        <w:drawing>
          <wp:inline distT="0" distB="0" distL="0" distR="0" wp14:anchorId="0C8787D3" wp14:editId="467253B9">
            <wp:extent cx="6383547" cy="3519578"/>
            <wp:effectExtent l="0" t="0" r="0" b="5080"/>
            <wp:docPr id="8" name="Picture 8" descr="D:\Yogesh\Ph.D\Thesis\curcumin\tb\work\manuscript\NMR\IG 1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Yogesh\Ph.D\Thesis\curcumin\tb\work\manuscript\NMR\IG 1H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304" cy="352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E5" w:rsidRPr="00F102E5" w:rsidRDefault="00F102E5" w:rsidP="00F102E5">
      <w:pPr>
        <w:pStyle w:val="Caption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0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="00F6353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D136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102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02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1H NMR of 5-(2-isonicotinoylhydrazinyl)-5-oxopentanoic acid (3) (400 MHz, DMSO)</w:t>
      </w:r>
    </w:p>
    <w:p w:rsidR="00F102E5" w:rsidRDefault="00F102E5" w:rsidP="00F102E5">
      <w:pPr>
        <w:keepNext/>
        <w:spacing w:line="360" w:lineRule="auto"/>
        <w:jc w:val="center"/>
      </w:pPr>
      <w:r>
        <w:rPr>
          <w:noProof/>
          <w:lang w:eastAsia="en-IN"/>
        </w:rPr>
        <w:lastRenderedPageBreak/>
        <w:drawing>
          <wp:inline distT="0" distB="0" distL="0" distR="0" wp14:anchorId="04F891B9" wp14:editId="4EFB1EEE">
            <wp:extent cx="5954287" cy="3821502"/>
            <wp:effectExtent l="0" t="0" r="8890" b="7620"/>
            <wp:docPr id="9" name="Picture 9" descr="D:\Yogesh\Ph.D\Thesis\curcumin\tb\work\manuscript\NMR\IG 13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Yogesh\Ph.D\Thesis\curcumin\tb\work\manuscript\NMR\IG 13C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232" cy="382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E5" w:rsidRPr="00F102E5" w:rsidRDefault="00F102E5" w:rsidP="00F102E5">
      <w:pPr>
        <w:pStyle w:val="Caption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0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="00F6353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D136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102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02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13C NMR of 5-(2-isonicotinoylhydrazinyl)-5-oxopentanoic acid (3) (101 MHz, DMSO)</w:t>
      </w:r>
    </w:p>
    <w:p w:rsidR="00CC67EA" w:rsidRDefault="00CC67EA" w:rsidP="00F102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787" w:rsidRDefault="0025357D" w:rsidP="00253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CALIBRATION CURVE OF L-LYSINE (TNBS ASSAY)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A3787" w:rsidRDefault="001A3787" w:rsidP="001A37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140">
        <w:rPr>
          <w:rFonts w:ascii="Times New Roman" w:hAnsi="Times New Roman" w:cs="Times New Roman"/>
          <w:sz w:val="24"/>
          <w:szCs w:val="24"/>
        </w:rPr>
        <w:t xml:space="preserve">The standard calibration curve was plotted using various concentrations of L-lysine </w:t>
      </w:r>
      <w:r w:rsidR="00DF2867">
        <w:rPr>
          <w:rFonts w:ascii="Times New Roman" w:hAnsi="Times New Roman"/>
          <w:bCs/>
          <w:color w:val="000000"/>
          <w:sz w:val="24"/>
          <w:szCs w:val="24"/>
        </w:rPr>
        <w:t>on</w:t>
      </w:r>
      <w:r w:rsidR="00DF2867" w:rsidRPr="00B75A8E">
        <w:rPr>
          <w:rFonts w:ascii="Times New Roman" w:hAnsi="Times New Roman"/>
          <w:bCs/>
          <w:color w:val="000000"/>
          <w:sz w:val="24"/>
          <w:szCs w:val="24"/>
        </w:rPr>
        <w:t xml:space="preserve"> a UV/Vis spectrophotometer (Shimadzu UV-2600)</w:t>
      </w:r>
      <w:r w:rsidR="00DF286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C4140">
        <w:rPr>
          <w:rFonts w:ascii="Times New Roman" w:hAnsi="Times New Roman" w:cs="Times New Roman"/>
          <w:sz w:val="24"/>
          <w:szCs w:val="24"/>
        </w:rPr>
        <w:t>and showed linearity in the concentration range of 1–10 µg/</w:t>
      </w:r>
      <w:proofErr w:type="spellStart"/>
      <w:r w:rsidRPr="00AC4140">
        <w:rPr>
          <w:rFonts w:ascii="Times New Roman" w:hAnsi="Times New Roman" w:cs="Times New Roman"/>
          <w:sz w:val="24"/>
          <w:szCs w:val="24"/>
        </w:rPr>
        <w:t>mL.</w:t>
      </w:r>
      <w:proofErr w:type="spellEnd"/>
    </w:p>
    <w:p w:rsidR="001A3787" w:rsidRDefault="001A3787" w:rsidP="001A3787">
      <w:pPr>
        <w:keepNext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IN"/>
        </w:rPr>
        <w:drawing>
          <wp:inline distT="0" distB="0" distL="0" distR="0" wp14:anchorId="56A84A7C" wp14:editId="113E67F8">
            <wp:extent cx="4584700" cy="275590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787" w:rsidRPr="001A3787" w:rsidRDefault="001A3787" w:rsidP="001A3787">
      <w:pPr>
        <w:pStyle w:val="Caption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A3787">
        <w:rPr>
          <w:rFonts w:ascii="Times New Roman" w:hAnsi="Times New Roman" w:cs="Times New Roman"/>
          <w:color w:val="000000" w:themeColor="text1"/>
          <w:sz w:val="24"/>
          <w:szCs w:val="24"/>
        </w:rPr>
        <w:t>Figure S</w:t>
      </w:r>
      <w:r w:rsidR="00ED136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A37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A37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Calibration curve of L-lysine (TNBS assay)</w:t>
      </w:r>
    </w:p>
    <w:p w:rsidR="00F102E5" w:rsidRPr="00F102E5" w:rsidRDefault="00861A65" w:rsidP="00F102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MALDI-TOF MASS SPECTRA</w:t>
      </w:r>
    </w:p>
    <w:p w:rsidR="00CC67EA" w:rsidRDefault="00F102E5" w:rsidP="00CC67EA">
      <w:pPr>
        <w:keepNext/>
        <w:spacing w:after="0" w:line="360" w:lineRule="auto"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492D133C" wp14:editId="6147B75E">
            <wp:extent cx="5253486" cy="4068038"/>
            <wp:effectExtent l="0" t="0" r="4445" b="8890"/>
            <wp:docPr id="5" name="Picture 5" descr="D:\Yogesh\Ph.D\Thesis\curcumin\tb\work\MALDI-TOF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Yogesh\Ph.D\Thesis\curcumin\tb\work\MALDI-TOF\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832" cy="407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E5" w:rsidRPr="00CC67EA" w:rsidRDefault="00CC67EA" w:rsidP="00CC67EA">
      <w:pPr>
        <w:pStyle w:val="Caption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6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="00F6353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D13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C67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C67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MALDI-TOF mass spectrum of transferrin (</w:t>
      </w:r>
      <w:proofErr w:type="spellStart"/>
      <w:r w:rsidRPr="00CC67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Tf</w:t>
      </w:r>
      <w:proofErr w:type="spellEnd"/>
      <w:r w:rsidRPr="00CC67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CC67EA" w:rsidRDefault="00F102E5" w:rsidP="00CC67EA">
      <w:pPr>
        <w:keepNext/>
        <w:spacing w:after="0" w:line="360" w:lineRule="auto"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247DB8E2" wp14:editId="062A8647">
            <wp:extent cx="4743450" cy="3700123"/>
            <wp:effectExtent l="0" t="0" r="0" b="0"/>
            <wp:docPr id="6" name="Picture 6" descr="D:\Yogesh\Ph.D\Thesis\curcumin\tb\work\MALDI-TOF\H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Yogesh\Ph.D\Thesis\curcumin\tb\work\MALDI-TOF\H new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308" cy="370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E5" w:rsidRPr="00CC67EA" w:rsidRDefault="00CC67EA" w:rsidP="00CC67EA">
      <w:pPr>
        <w:pStyle w:val="Caption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6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="00F6353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D136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C67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C67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MALDI-TOF mass spectrum of transferrin-</w:t>
      </w:r>
      <w:proofErr w:type="spellStart"/>
      <w:r w:rsidRPr="00CC67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isonicotinoylhydrazonoacetic</w:t>
      </w:r>
      <w:proofErr w:type="spellEnd"/>
      <w:r w:rsidRPr="00CC67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acid conjugate (</w:t>
      </w:r>
      <w:proofErr w:type="spellStart"/>
      <w:r w:rsidRPr="00CC67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Tf</w:t>
      </w:r>
      <w:proofErr w:type="spellEnd"/>
      <w:r w:rsidRPr="00CC67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-IH) (</w:t>
      </w:r>
      <w:r w:rsidR="00F635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T3</w:t>
      </w:r>
      <w:r w:rsidRPr="00CC67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F6353D" w:rsidRDefault="00F102E5" w:rsidP="00F6353D">
      <w:pPr>
        <w:keepNext/>
        <w:spacing w:line="360" w:lineRule="auto"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lastRenderedPageBreak/>
        <w:drawing>
          <wp:inline distT="0" distB="0" distL="0" distR="0" wp14:anchorId="286E12E8" wp14:editId="21D82234">
            <wp:extent cx="4724400" cy="3696852"/>
            <wp:effectExtent l="0" t="0" r="0" b="0"/>
            <wp:docPr id="7" name="Picture 7" descr="D:\Yogesh\Ph.D\Thesis\curcumin\tb\work\MALDI-TOF\G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Yogesh\Ph.D\Thesis\curcumin\tb\work\MALDI-TOF\G new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971" cy="369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E5" w:rsidRPr="00F6353D" w:rsidRDefault="00F6353D" w:rsidP="00F6353D">
      <w:pPr>
        <w:pStyle w:val="Caption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D136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635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635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MALDI-TOF mass spectrum of transferrin-isonicotinoylhydrazinyl-5-oxopentanoic acid conjugate (</w:t>
      </w:r>
      <w:proofErr w:type="spellStart"/>
      <w:r w:rsidRPr="00F635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Tf</w:t>
      </w:r>
      <w:proofErr w:type="spellEnd"/>
      <w:r w:rsidRPr="00F635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-IG) (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T3</w:t>
      </w:r>
      <w:r w:rsidRPr="00F635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9F377E" w:rsidRDefault="005666EA"/>
    <w:sectPr w:rsidR="009F377E" w:rsidSect="00262786">
      <w:headerReference w:type="default" r:id="rId21"/>
      <w:foot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EA" w:rsidRDefault="005666EA">
      <w:pPr>
        <w:spacing w:after="0" w:line="240" w:lineRule="auto"/>
      </w:pPr>
      <w:r>
        <w:separator/>
      </w:r>
    </w:p>
  </w:endnote>
  <w:endnote w:type="continuationSeparator" w:id="0">
    <w:p w:rsidR="005666EA" w:rsidRDefault="0056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5107"/>
      <w:docPartObj>
        <w:docPartGallery w:val="Page Numbers (Bottom of Page)"/>
        <w:docPartUnique/>
      </w:docPartObj>
    </w:sdtPr>
    <w:sdtEndPr/>
    <w:sdtContent>
      <w:p w:rsidR="00B36769" w:rsidRDefault="00007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E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6769" w:rsidRDefault="00566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EA" w:rsidRDefault="005666EA">
      <w:pPr>
        <w:spacing w:after="0" w:line="240" w:lineRule="auto"/>
      </w:pPr>
      <w:r>
        <w:separator/>
      </w:r>
    </w:p>
  </w:footnote>
  <w:footnote w:type="continuationSeparator" w:id="0">
    <w:p w:rsidR="005666EA" w:rsidRDefault="0056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9" w:rsidRDefault="005666EA">
    <w:pPr>
      <w:pStyle w:val="Header"/>
      <w:jc w:val="right"/>
    </w:pPr>
  </w:p>
  <w:p w:rsidR="00B36769" w:rsidRDefault="00566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10B"/>
    <w:multiLevelType w:val="hybridMultilevel"/>
    <w:tmpl w:val="7548B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6C3"/>
    <w:multiLevelType w:val="hybridMultilevel"/>
    <w:tmpl w:val="FBE2CC46"/>
    <w:lvl w:ilvl="0" w:tplc="1C461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C6655"/>
    <w:multiLevelType w:val="hybridMultilevel"/>
    <w:tmpl w:val="242861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E5"/>
    <w:rsid w:val="00007C4B"/>
    <w:rsid w:val="000D220E"/>
    <w:rsid w:val="001A3787"/>
    <w:rsid w:val="001F269C"/>
    <w:rsid w:val="0025357D"/>
    <w:rsid w:val="00270B97"/>
    <w:rsid w:val="00342490"/>
    <w:rsid w:val="004F32EB"/>
    <w:rsid w:val="00532E17"/>
    <w:rsid w:val="005666EA"/>
    <w:rsid w:val="00675395"/>
    <w:rsid w:val="0067677C"/>
    <w:rsid w:val="00773775"/>
    <w:rsid w:val="00861A65"/>
    <w:rsid w:val="008E401B"/>
    <w:rsid w:val="00957EC7"/>
    <w:rsid w:val="00C21EBE"/>
    <w:rsid w:val="00CC67EA"/>
    <w:rsid w:val="00DF2867"/>
    <w:rsid w:val="00E605F5"/>
    <w:rsid w:val="00E92B2F"/>
    <w:rsid w:val="00ED1362"/>
    <w:rsid w:val="00F102E5"/>
    <w:rsid w:val="00F6353D"/>
    <w:rsid w:val="00F94F54"/>
    <w:rsid w:val="00FA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02E5"/>
    <w:rPr>
      <w:color w:val="0000FF"/>
      <w:u w:val="single"/>
    </w:rPr>
  </w:style>
  <w:style w:type="paragraph" w:customStyle="1" w:styleId="RSCB04AHeadingSection">
    <w:name w:val="RSC B04 A Heading (Section)"/>
    <w:basedOn w:val="Normal"/>
    <w:link w:val="RSCB04AHeadingSectionChar"/>
    <w:qFormat/>
    <w:rsid w:val="00F102E5"/>
    <w:pPr>
      <w:spacing w:before="400" w:after="80" w:line="240" w:lineRule="auto"/>
    </w:pPr>
    <w:rPr>
      <w:rFonts w:ascii="Calibri" w:eastAsia="Calibri" w:hAnsi="Calibri" w:cs="Times New Roman"/>
      <w:b/>
      <w:sz w:val="24"/>
      <w:lang w:val="en-GB"/>
    </w:rPr>
  </w:style>
  <w:style w:type="character" w:customStyle="1" w:styleId="RSCB04AHeadingSectionChar">
    <w:name w:val="RSC B04 A Heading (Section) Char"/>
    <w:basedOn w:val="DefaultParagraphFont"/>
    <w:link w:val="RSCB04AHeadingSection"/>
    <w:rsid w:val="00F102E5"/>
    <w:rPr>
      <w:rFonts w:ascii="Calibri" w:eastAsia="Calibri" w:hAnsi="Calibri" w:cs="Times New Rom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F10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E5"/>
  </w:style>
  <w:style w:type="paragraph" w:styleId="Footer">
    <w:name w:val="footer"/>
    <w:basedOn w:val="Normal"/>
    <w:link w:val="FooterChar"/>
    <w:uiPriority w:val="99"/>
    <w:unhideWhenUsed/>
    <w:rsid w:val="00F1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E5"/>
  </w:style>
  <w:style w:type="paragraph" w:styleId="BalloonText">
    <w:name w:val="Balloon Text"/>
    <w:basedOn w:val="Normal"/>
    <w:link w:val="BalloonTextChar"/>
    <w:uiPriority w:val="99"/>
    <w:semiHidden/>
    <w:unhideWhenUsed/>
    <w:rsid w:val="00F1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E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102E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02E5"/>
    <w:rPr>
      <w:color w:val="0000FF"/>
      <w:u w:val="single"/>
    </w:rPr>
  </w:style>
  <w:style w:type="paragraph" w:customStyle="1" w:styleId="RSCB04AHeadingSection">
    <w:name w:val="RSC B04 A Heading (Section)"/>
    <w:basedOn w:val="Normal"/>
    <w:link w:val="RSCB04AHeadingSectionChar"/>
    <w:qFormat/>
    <w:rsid w:val="00F102E5"/>
    <w:pPr>
      <w:spacing w:before="400" w:after="80" w:line="240" w:lineRule="auto"/>
    </w:pPr>
    <w:rPr>
      <w:rFonts w:ascii="Calibri" w:eastAsia="Calibri" w:hAnsi="Calibri" w:cs="Times New Roman"/>
      <w:b/>
      <w:sz w:val="24"/>
      <w:lang w:val="en-GB"/>
    </w:rPr>
  </w:style>
  <w:style w:type="character" w:customStyle="1" w:styleId="RSCB04AHeadingSectionChar">
    <w:name w:val="RSC B04 A Heading (Section) Char"/>
    <w:basedOn w:val="DefaultParagraphFont"/>
    <w:link w:val="RSCB04AHeadingSection"/>
    <w:rsid w:val="00F102E5"/>
    <w:rPr>
      <w:rFonts w:ascii="Calibri" w:eastAsia="Calibri" w:hAnsi="Calibri" w:cs="Times New Rom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F10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E5"/>
  </w:style>
  <w:style w:type="paragraph" w:styleId="Footer">
    <w:name w:val="footer"/>
    <w:basedOn w:val="Normal"/>
    <w:link w:val="FooterChar"/>
    <w:uiPriority w:val="99"/>
    <w:unhideWhenUsed/>
    <w:rsid w:val="00F1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E5"/>
  </w:style>
  <w:style w:type="paragraph" w:styleId="BalloonText">
    <w:name w:val="Balloon Text"/>
    <w:basedOn w:val="Normal"/>
    <w:link w:val="BalloonTextChar"/>
    <w:uiPriority w:val="99"/>
    <w:semiHidden/>
    <w:unhideWhenUsed/>
    <w:rsid w:val="00F1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E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102E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tiff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tiff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mailto:vikastelvekar@rediffmail.com" TargetMode="External"/><Relationship Id="rId14" Type="http://schemas.openxmlformats.org/officeDocument/2006/relationships/image" Target="media/image5.tif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5B2F-2194-47E5-93F6-25710BC3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Smart</cp:lastModifiedBy>
  <cp:revision>2</cp:revision>
  <dcterms:created xsi:type="dcterms:W3CDTF">2020-01-09T16:27:00Z</dcterms:created>
  <dcterms:modified xsi:type="dcterms:W3CDTF">2020-01-09T16:27:00Z</dcterms:modified>
</cp:coreProperties>
</file>