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C776" w14:textId="613C673D" w:rsidR="00590025" w:rsidRPr="0017504F" w:rsidRDefault="00590025" w:rsidP="007D56A1">
      <w:pPr>
        <w:pStyle w:val="BodyTextIndent"/>
        <w:spacing w:line="360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17504F">
        <w:rPr>
          <w:b/>
          <w:bCs/>
          <w:sz w:val="28"/>
          <w:szCs w:val="28"/>
          <w:u w:val="single"/>
        </w:rPr>
        <w:t xml:space="preserve">Supplementary </w:t>
      </w:r>
      <w:r w:rsidR="0017504F" w:rsidRPr="0017504F">
        <w:rPr>
          <w:b/>
          <w:bCs/>
          <w:sz w:val="28"/>
          <w:szCs w:val="28"/>
          <w:u w:val="single"/>
        </w:rPr>
        <w:t>I</w:t>
      </w:r>
      <w:r w:rsidRPr="0017504F">
        <w:rPr>
          <w:b/>
          <w:bCs/>
          <w:sz w:val="28"/>
          <w:szCs w:val="28"/>
          <w:u w:val="single"/>
        </w:rPr>
        <w:t>nformation</w:t>
      </w:r>
    </w:p>
    <w:p w14:paraId="63E4D487" w14:textId="5470AE31" w:rsidR="00B87DCC" w:rsidRPr="00D976BA" w:rsidRDefault="0017504F" w:rsidP="00B87DCC">
      <w:pPr>
        <w:spacing w:line="360" w:lineRule="auto"/>
        <w:jc w:val="center"/>
        <w:rPr>
          <w:b/>
          <w:bCs/>
          <w:sz w:val="28"/>
          <w:szCs w:val="40"/>
        </w:rPr>
      </w:pPr>
      <w:r w:rsidRPr="009330B2">
        <w:rPr>
          <w:b/>
          <w:bCs/>
          <w:sz w:val="28"/>
          <w:szCs w:val="40"/>
        </w:rPr>
        <w:t>Crystallization properties of arsenic doped GST alloys</w:t>
      </w:r>
      <w:r w:rsidR="00B87DCC">
        <w:rPr>
          <w:b/>
          <w:bCs/>
          <w:sz w:val="28"/>
          <w:szCs w:val="40"/>
        </w:rPr>
        <w:t xml:space="preserve"> </w:t>
      </w:r>
    </w:p>
    <w:p w14:paraId="5CBA3700" w14:textId="77777777" w:rsidR="00B87DCC" w:rsidRDefault="00B87DCC" w:rsidP="00B87DCC">
      <w:pPr>
        <w:spacing w:line="360" w:lineRule="auto"/>
        <w:jc w:val="center"/>
        <w:rPr>
          <w:bCs/>
          <w:szCs w:val="40"/>
        </w:rPr>
      </w:pPr>
      <w:r w:rsidRPr="00D976BA">
        <w:rPr>
          <w:bCs/>
          <w:szCs w:val="40"/>
        </w:rPr>
        <w:t>Vinod</w:t>
      </w:r>
      <w:r>
        <w:rPr>
          <w:bCs/>
          <w:szCs w:val="40"/>
        </w:rPr>
        <w:t xml:space="preserve"> E. Madhavan</w:t>
      </w:r>
      <w:r>
        <w:rPr>
          <w:bCs/>
          <w:szCs w:val="40"/>
          <w:vertAlign w:val="superscript"/>
        </w:rPr>
        <w:t>1*</w:t>
      </w:r>
      <w:r>
        <w:rPr>
          <w:bCs/>
          <w:szCs w:val="40"/>
        </w:rPr>
        <w:t>,</w:t>
      </w:r>
      <w:r w:rsidRPr="00D976BA">
        <w:rPr>
          <w:bCs/>
          <w:szCs w:val="40"/>
        </w:rPr>
        <w:t xml:space="preserve"> </w:t>
      </w:r>
      <w:r>
        <w:rPr>
          <w:bCs/>
          <w:szCs w:val="40"/>
        </w:rPr>
        <w:t>Marcelo Carignano</w:t>
      </w:r>
      <w:r w:rsidRPr="00C26F51">
        <w:rPr>
          <w:bCs/>
          <w:szCs w:val="40"/>
          <w:vertAlign w:val="superscript"/>
        </w:rPr>
        <w:t>1</w:t>
      </w:r>
      <w:r>
        <w:rPr>
          <w:bCs/>
          <w:szCs w:val="40"/>
        </w:rPr>
        <w:t>, Ali Kachmar</w:t>
      </w:r>
      <w:r w:rsidRPr="00C26F51">
        <w:rPr>
          <w:bCs/>
          <w:szCs w:val="40"/>
          <w:vertAlign w:val="superscript"/>
        </w:rPr>
        <w:t>1</w:t>
      </w:r>
      <w:r>
        <w:rPr>
          <w:bCs/>
          <w:szCs w:val="40"/>
          <w:vertAlign w:val="superscript"/>
        </w:rPr>
        <w:t>*</w:t>
      </w:r>
      <w:r>
        <w:rPr>
          <w:bCs/>
          <w:szCs w:val="40"/>
        </w:rPr>
        <w:t xml:space="preserve">, K. S. </w:t>
      </w:r>
      <w:r w:rsidRPr="00D976BA">
        <w:rPr>
          <w:bCs/>
          <w:szCs w:val="40"/>
        </w:rPr>
        <w:t>Sangunni</w:t>
      </w:r>
      <w:r w:rsidRPr="00E0030E">
        <w:rPr>
          <w:bCs/>
          <w:szCs w:val="40"/>
          <w:vertAlign w:val="superscript"/>
        </w:rPr>
        <w:t>2</w:t>
      </w:r>
    </w:p>
    <w:p w14:paraId="6EDCF3C8" w14:textId="3306DB07" w:rsidR="00B87DCC" w:rsidRPr="005B18FF" w:rsidRDefault="00B87DCC" w:rsidP="00B87DCC">
      <w:pPr>
        <w:spacing w:line="360" w:lineRule="auto"/>
        <w:jc w:val="center"/>
        <w:rPr>
          <w:bCs/>
          <w:i/>
          <w:sz w:val="18"/>
          <w:szCs w:val="40"/>
        </w:rPr>
      </w:pPr>
      <w:r w:rsidRPr="005B18FF">
        <w:rPr>
          <w:bCs/>
          <w:i/>
          <w:sz w:val="18"/>
          <w:szCs w:val="40"/>
          <w:vertAlign w:val="superscript"/>
        </w:rPr>
        <w:t>1</w:t>
      </w:r>
      <w:r w:rsidRPr="005B18FF">
        <w:rPr>
          <w:bCs/>
          <w:i/>
          <w:sz w:val="18"/>
          <w:szCs w:val="40"/>
        </w:rPr>
        <w:t xml:space="preserve">Qatar Environment and Energy Research Institute, Hamad Bin Khalifa University, Qatar Foundation, P. O. Box </w:t>
      </w:r>
      <w:r w:rsidR="0017504F">
        <w:rPr>
          <w:bCs/>
          <w:i/>
          <w:sz w:val="18"/>
          <w:szCs w:val="40"/>
        </w:rPr>
        <w:t>34110</w:t>
      </w:r>
      <w:r w:rsidRPr="005B18FF">
        <w:rPr>
          <w:bCs/>
          <w:i/>
          <w:sz w:val="18"/>
          <w:szCs w:val="40"/>
        </w:rPr>
        <w:t>, Doha, Qatar</w:t>
      </w:r>
    </w:p>
    <w:p w14:paraId="2D81385E" w14:textId="77777777" w:rsidR="00B87DCC" w:rsidRPr="005B18FF" w:rsidRDefault="00B87DCC" w:rsidP="00B87DCC">
      <w:pPr>
        <w:jc w:val="center"/>
        <w:rPr>
          <w:bCs/>
          <w:i/>
          <w:sz w:val="18"/>
          <w:szCs w:val="40"/>
        </w:rPr>
      </w:pPr>
      <w:r w:rsidRPr="005B18FF">
        <w:rPr>
          <w:bCs/>
          <w:i/>
          <w:sz w:val="18"/>
          <w:szCs w:val="40"/>
          <w:vertAlign w:val="superscript"/>
        </w:rPr>
        <w:t>2</w:t>
      </w:r>
      <w:r w:rsidRPr="005B18FF">
        <w:rPr>
          <w:bCs/>
          <w:i/>
          <w:sz w:val="18"/>
          <w:szCs w:val="40"/>
        </w:rPr>
        <w:t>Department of Physics, Indian Institute of Science, Bangalore 560012, India</w:t>
      </w:r>
    </w:p>
    <w:p w14:paraId="515C399A" w14:textId="77777777" w:rsidR="00B87DCC" w:rsidRDefault="00B87DCC" w:rsidP="00B87DCC">
      <w:pPr>
        <w:pStyle w:val="BodyTextIndent"/>
        <w:spacing w:line="360" w:lineRule="auto"/>
        <w:ind w:left="720"/>
        <w:jc w:val="center"/>
        <w:rPr>
          <w:bCs/>
          <w:sz w:val="20"/>
          <w:szCs w:val="20"/>
        </w:rPr>
      </w:pPr>
    </w:p>
    <w:p w14:paraId="5A1A9F69" w14:textId="77777777" w:rsidR="00B87DCC" w:rsidRDefault="00B87DCC" w:rsidP="00B87DCC">
      <w:pPr>
        <w:pStyle w:val="BodyTextIndent"/>
        <w:spacing w:line="360" w:lineRule="auto"/>
        <w:ind w:left="720"/>
        <w:rPr>
          <w:rStyle w:val="Hyperlink"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Pr="005B18FF">
        <w:rPr>
          <w:bCs/>
          <w:sz w:val="20"/>
          <w:szCs w:val="20"/>
        </w:rPr>
        <w:t>*Corresponding author</w:t>
      </w:r>
      <w:r>
        <w:rPr>
          <w:bCs/>
          <w:sz w:val="20"/>
          <w:szCs w:val="20"/>
        </w:rPr>
        <w:t>s</w:t>
      </w:r>
      <w:r w:rsidRPr="005B18FF">
        <w:rPr>
          <w:bCs/>
          <w:sz w:val="20"/>
          <w:szCs w:val="20"/>
        </w:rPr>
        <w:t xml:space="preserve"> (</w:t>
      </w:r>
      <w:hyperlink r:id="rId4" w:history="1">
        <w:r w:rsidRPr="006155B6">
          <w:rPr>
            <w:rStyle w:val="Hyperlink"/>
            <w:bCs/>
            <w:sz w:val="20"/>
            <w:szCs w:val="20"/>
          </w:rPr>
          <w:t>vmadhavan@hbku.edu.qa</w:t>
        </w:r>
      </w:hyperlink>
      <w:r>
        <w:rPr>
          <w:rStyle w:val="Hyperlink"/>
          <w:bCs/>
          <w:sz w:val="20"/>
          <w:szCs w:val="20"/>
        </w:rPr>
        <w:t xml:space="preserve">, </w:t>
      </w:r>
      <w:hyperlink r:id="rId5" w:history="1">
        <w:r w:rsidRPr="006155B6">
          <w:rPr>
            <w:rStyle w:val="Hyperlink"/>
            <w:bCs/>
            <w:sz w:val="20"/>
            <w:szCs w:val="20"/>
          </w:rPr>
          <w:t>akachmar@hbku.edu.qa</w:t>
        </w:r>
      </w:hyperlink>
      <w:r>
        <w:rPr>
          <w:rStyle w:val="Hyperlink"/>
          <w:bCs/>
          <w:sz w:val="20"/>
          <w:szCs w:val="20"/>
        </w:rPr>
        <w:t>)</w:t>
      </w:r>
    </w:p>
    <w:p w14:paraId="3D83249C" w14:textId="77777777" w:rsidR="00590025" w:rsidRDefault="00590025" w:rsidP="0017504F">
      <w:pPr>
        <w:pStyle w:val="BodyTextIndent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E35AA6F" wp14:editId="2BD83B3E">
            <wp:extent cx="2845368" cy="2178050"/>
            <wp:effectExtent l="0" t="0" r="0" b="0"/>
            <wp:docPr id="29" name="Picture 29" descr="D:\Paper\(GST)As paper\Manuscript\SI figures\SI Fig.1 xrd\Grap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aper\(GST)As paper\Manuscript\SI figures\SI Fig.1 xrd\Grap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84" cy="21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05866" w14:textId="77777777" w:rsidR="00590025" w:rsidRDefault="00590025" w:rsidP="0017504F">
      <w:pPr>
        <w:pStyle w:val="BodyTextIndent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6587FA" wp14:editId="4F1E3C1D">
            <wp:extent cx="2857500" cy="2187337"/>
            <wp:effectExtent l="0" t="0" r="0" b="3810"/>
            <wp:docPr id="30" name="Picture 30" descr="D:\Paper\(GST)As paper\Manuscript\SI figures\SI Fig.1 xrd\Grap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aper\(GST)As paper\Manuscript\SI figures\SI Fig.1 xrd\Graph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24" cy="21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3831" w14:textId="458D0673" w:rsidR="00590025" w:rsidRPr="00944E26" w:rsidRDefault="00590025" w:rsidP="0017504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44E26">
        <w:rPr>
          <w:rFonts w:asciiTheme="minorHAnsi" w:hAnsiTheme="minorHAnsi"/>
          <w:b/>
          <w:bCs/>
        </w:rPr>
        <w:t>Fig</w:t>
      </w:r>
      <w:r w:rsidR="0017504F" w:rsidRPr="00944E26">
        <w:rPr>
          <w:rFonts w:asciiTheme="minorHAnsi" w:hAnsiTheme="minorHAnsi"/>
          <w:b/>
          <w:bCs/>
        </w:rPr>
        <w:t xml:space="preserve">ure </w:t>
      </w:r>
      <w:r w:rsidRPr="00944E26">
        <w:rPr>
          <w:rFonts w:asciiTheme="minorHAnsi" w:hAnsiTheme="minorHAnsi"/>
          <w:b/>
          <w:bCs/>
        </w:rPr>
        <w:t>S1:</w:t>
      </w:r>
      <w:r w:rsidRPr="00944E26">
        <w:rPr>
          <w:rFonts w:asciiTheme="minorHAnsi" w:hAnsiTheme="minorHAnsi"/>
        </w:rPr>
        <w:t xml:space="preserve"> XRD of the </w:t>
      </w:r>
      <w:r w:rsidRPr="00944E26">
        <w:rPr>
          <w:rFonts w:asciiTheme="minorHAnsi" w:hAnsiTheme="minorHAnsi"/>
          <w:bCs/>
        </w:rPr>
        <w:t>(Ge</w:t>
      </w:r>
      <w:r w:rsidRPr="00944E26">
        <w:rPr>
          <w:rFonts w:asciiTheme="minorHAnsi" w:hAnsiTheme="minorHAnsi"/>
          <w:bCs/>
          <w:vertAlign w:val="subscript"/>
        </w:rPr>
        <w:t>2</w:t>
      </w:r>
      <w:r w:rsidRPr="00944E26">
        <w:rPr>
          <w:rFonts w:asciiTheme="minorHAnsi" w:hAnsiTheme="minorHAnsi"/>
          <w:bCs/>
        </w:rPr>
        <w:t>Sb</w:t>
      </w:r>
      <w:r w:rsidRPr="00944E26">
        <w:rPr>
          <w:rFonts w:asciiTheme="minorHAnsi" w:hAnsiTheme="minorHAnsi"/>
          <w:bCs/>
          <w:vertAlign w:val="subscript"/>
        </w:rPr>
        <w:t>2</w:t>
      </w:r>
      <w:r w:rsidRPr="00944E26">
        <w:rPr>
          <w:rFonts w:asciiTheme="minorHAnsi" w:hAnsiTheme="minorHAnsi"/>
          <w:bCs/>
        </w:rPr>
        <w:t>Te</w:t>
      </w:r>
      <w:r w:rsidRPr="00944E26">
        <w:rPr>
          <w:rFonts w:asciiTheme="minorHAnsi" w:hAnsiTheme="minorHAnsi"/>
          <w:bCs/>
          <w:vertAlign w:val="subscript"/>
        </w:rPr>
        <w:t>5</w:t>
      </w:r>
      <w:r w:rsidRPr="00944E26">
        <w:rPr>
          <w:rFonts w:asciiTheme="minorHAnsi" w:hAnsiTheme="minorHAnsi"/>
          <w:bCs/>
        </w:rPr>
        <w:t>)</w:t>
      </w:r>
      <w:r w:rsidRPr="00944E26">
        <w:rPr>
          <w:rFonts w:asciiTheme="minorHAnsi" w:hAnsiTheme="minorHAnsi"/>
          <w:bCs/>
          <w:vertAlign w:val="subscript"/>
        </w:rPr>
        <w:t>1-x</w:t>
      </w:r>
      <w:r w:rsidRPr="00944E26">
        <w:rPr>
          <w:rFonts w:asciiTheme="minorHAnsi" w:hAnsiTheme="minorHAnsi"/>
          <w:bCs/>
        </w:rPr>
        <w:t>As</w:t>
      </w:r>
      <w:r w:rsidRPr="00944E26">
        <w:rPr>
          <w:rFonts w:asciiTheme="minorHAnsi" w:hAnsiTheme="minorHAnsi"/>
          <w:bCs/>
          <w:vertAlign w:val="subscript"/>
        </w:rPr>
        <w:t>x</w:t>
      </w:r>
      <w:r w:rsidRPr="00944E26">
        <w:rPr>
          <w:rFonts w:asciiTheme="minorHAnsi" w:hAnsiTheme="minorHAnsi"/>
        </w:rPr>
        <w:t xml:space="preserve"> samples </w:t>
      </w:r>
      <w:r w:rsidR="0059476C" w:rsidRPr="00944E26">
        <w:rPr>
          <w:rFonts w:asciiTheme="minorHAnsi" w:hAnsiTheme="minorHAnsi"/>
        </w:rPr>
        <w:t xml:space="preserve">annealed </w:t>
      </w:r>
      <w:r w:rsidRPr="00944E26">
        <w:rPr>
          <w:rFonts w:asciiTheme="minorHAnsi" w:hAnsiTheme="minorHAnsi"/>
        </w:rPr>
        <w:t>(a) 200</w:t>
      </w:r>
      <w:r w:rsidR="0059476C" w:rsidRPr="00944E26">
        <w:rPr>
          <w:rFonts w:asciiTheme="minorHAnsi" w:hAnsiTheme="minorHAnsi"/>
        </w:rPr>
        <w:t xml:space="preserve"> </w:t>
      </w:r>
      <w:proofErr w:type="spellStart"/>
      <w:r w:rsidRPr="00944E26">
        <w:rPr>
          <w:rFonts w:asciiTheme="minorHAnsi" w:hAnsiTheme="minorHAnsi"/>
          <w:vertAlign w:val="superscript"/>
        </w:rPr>
        <w:t>o</w:t>
      </w:r>
      <w:r w:rsidRPr="00944E26">
        <w:rPr>
          <w:rFonts w:asciiTheme="minorHAnsi" w:hAnsiTheme="minorHAnsi"/>
        </w:rPr>
        <w:t>C</w:t>
      </w:r>
      <w:proofErr w:type="spellEnd"/>
      <w:r w:rsidRPr="00944E26">
        <w:rPr>
          <w:rFonts w:asciiTheme="minorHAnsi" w:hAnsiTheme="minorHAnsi"/>
        </w:rPr>
        <w:t xml:space="preserve"> and (b) 300</w:t>
      </w:r>
      <w:r w:rsidR="0059476C" w:rsidRPr="00944E26">
        <w:rPr>
          <w:rFonts w:asciiTheme="minorHAnsi" w:hAnsiTheme="minorHAnsi"/>
        </w:rPr>
        <w:t xml:space="preserve"> </w:t>
      </w:r>
      <w:proofErr w:type="spellStart"/>
      <w:r w:rsidRPr="00944E26">
        <w:rPr>
          <w:rFonts w:asciiTheme="minorHAnsi" w:hAnsiTheme="minorHAnsi"/>
          <w:vertAlign w:val="superscript"/>
        </w:rPr>
        <w:t>o</w:t>
      </w:r>
      <w:r w:rsidRPr="00944E26">
        <w:rPr>
          <w:rFonts w:asciiTheme="minorHAnsi" w:hAnsiTheme="minorHAnsi"/>
        </w:rPr>
        <w:t>C.</w:t>
      </w:r>
      <w:proofErr w:type="spellEnd"/>
      <w:r w:rsidR="00D25981" w:rsidRPr="00944E26">
        <w:rPr>
          <w:rFonts w:asciiTheme="minorHAnsi" w:hAnsiTheme="minorHAnsi"/>
        </w:rPr>
        <w:t xml:space="preserve"> The films annealed</w:t>
      </w:r>
      <w:r w:rsidRPr="00944E26">
        <w:rPr>
          <w:rFonts w:asciiTheme="minorHAnsi" w:hAnsiTheme="minorHAnsi"/>
        </w:rPr>
        <w:t xml:space="preserve"> at 200</w:t>
      </w:r>
      <w:r w:rsidR="00E166CC" w:rsidRPr="00944E26">
        <w:rPr>
          <w:rFonts w:asciiTheme="minorHAnsi" w:hAnsiTheme="minorHAnsi"/>
        </w:rPr>
        <w:t xml:space="preserve"> </w:t>
      </w:r>
      <w:proofErr w:type="spellStart"/>
      <w:r w:rsidRPr="00944E26">
        <w:rPr>
          <w:rFonts w:asciiTheme="minorHAnsi" w:hAnsiTheme="minorHAnsi"/>
          <w:vertAlign w:val="superscript"/>
        </w:rPr>
        <w:t>o</w:t>
      </w:r>
      <w:r w:rsidRPr="00944E26">
        <w:rPr>
          <w:rFonts w:asciiTheme="minorHAnsi" w:hAnsiTheme="minorHAnsi"/>
        </w:rPr>
        <w:t>C</w:t>
      </w:r>
      <w:proofErr w:type="spellEnd"/>
      <w:r w:rsidRPr="00944E26">
        <w:rPr>
          <w:rFonts w:asciiTheme="minorHAnsi" w:hAnsiTheme="minorHAnsi"/>
        </w:rPr>
        <w:t xml:space="preserve"> are crystallized</w:t>
      </w:r>
      <w:r w:rsidR="00D25981" w:rsidRPr="00944E26">
        <w:rPr>
          <w:rFonts w:asciiTheme="minorHAnsi" w:hAnsiTheme="minorHAnsi"/>
        </w:rPr>
        <w:t xml:space="preserve"> (</w:t>
      </w:r>
      <w:proofErr w:type="spellStart"/>
      <w:proofErr w:type="gramStart"/>
      <w:r w:rsidR="00D25981" w:rsidRPr="00944E26">
        <w:rPr>
          <w:rFonts w:asciiTheme="minorHAnsi" w:hAnsiTheme="minorHAnsi"/>
        </w:rPr>
        <w:t>Fi.g</w:t>
      </w:r>
      <w:proofErr w:type="spellEnd"/>
      <w:proofErr w:type="gramEnd"/>
      <w:r w:rsidR="00D25981" w:rsidRPr="00944E26">
        <w:rPr>
          <w:rFonts w:asciiTheme="minorHAnsi" w:hAnsiTheme="minorHAnsi"/>
        </w:rPr>
        <w:t xml:space="preserve"> S1(a))</w:t>
      </w:r>
      <w:r w:rsidRPr="00944E26">
        <w:rPr>
          <w:rFonts w:asciiTheme="minorHAnsi" w:hAnsiTheme="minorHAnsi"/>
        </w:rPr>
        <w:t xml:space="preserve">. </w:t>
      </w:r>
      <w:r w:rsidR="00D25981" w:rsidRPr="00944E26">
        <w:rPr>
          <w:rFonts w:asciiTheme="minorHAnsi" w:hAnsiTheme="minorHAnsi"/>
        </w:rPr>
        <w:t>However,</w:t>
      </w:r>
      <w:r w:rsidRPr="00944E26">
        <w:rPr>
          <w:rFonts w:asciiTheme="minorHAnsi" w:hAnsiTheme="minorHAnsi"/>
        </w:rPr>
        <w:t xml:space="preserve"> GST and As 0.02 </w:t>
      </w:r>
      <w:proofErr w:type="gramStart"/>
      <w:r w:rsidRPr="00944E26">
        <w:rPr>
          <w:rFonts w:asciiTheme="minorHAnsi" w:hAnsiTheme="minorHAnsi"/>
        </w:rPr>
        <w:t>at.%</w:t>
      </w:r>
      <w:proofErr w:type="gramEnd"/>
      <w:r w:rsidRPr="00944E26">
        <w:rPr>
          <w:rFonts w:asciiTheme="minorHAnsi" w:hAnsiTheme="minorHAnsi"/>
        </w:rPr>
        <w:t xml:space="preserve"> sample</w:t>
      </w:r>
      <w:r w:rsidR="00D25981" w:rsidRPr="00944E26">
        <w:rPr>
          <w:rFonts w:asciiTheme="minorHAnsi" w:hAnsiTheme="minorHAnsi"/>
        </w:rPr>
        <w:t>s</w:t>
      </w:r>
      <w:r w:rsidRPr="00944E26">
        <w:rPr>
          <w:rFonts w:asciiTheme="minorHAnsi" w:hAnsiTheme="minorHAnsi"/>
        </w:rPr>
        <w:t xml:space="preserve"> show a hexagonal structure </w:t>
      </w:r>
      <w:r w:rsidR="00D25981" w:rsidRPr="00944E26">
        <w:rPr>
          <w:rFonts w:asciiTheme="minorHAnsi" w:hAnsiTheme="minorHAnsi"/>
        </w:rPr>
        <w:t xml:space="preserve">formation </w:t>
      </w:r>
      <w:r w:rsidRPr="00944E26">
        <w:rPr>
          <w:rFonts w:asciiTheme="minorHAnsi" w:hAnsiTheme="minorHAnsi"/>
        </w:rPr>
        <w:t xml:space="preserve">whereas 0.10, 0.15 at.% </w:t>
      </w:r>
      <w:r w:rsidR="00D25981" w:rsidRPr="00944E26">
        <w:rPr>
          <w:rFonts w:asciiTheme="minorHAnsi" w:hAnsiTheme="minorHAnsi"/>
        </w:rPr>
        <w:t>arsenic doped sample show</w:t>
      </w:r>
      <w:r w:rsidRPr="00944E26">
        <w:rPr>
          <w:rFonts w:asciiTheme="minorHAnsi" w:hAnsiTheme="minorHAnsi"/>
        </w:rPr>
        <w:t xml:space="preserve"> FCC structure. This is </w:t>
      </w:r>
      <w:r w:rsidR="00D25981" w:rsidRPr="00944E26">
        <w:rPr>
          <w:rFonts w:asciiTheme="minorHAnsi" w:hAnsiTheme="minorHAnsi"/>
        </w:rPr>
        <w:t>distinguishable</w:t>
      </w:r>
      <w:r w:rsidRPr="00944E26">
        <w:rPr>
          <w:rFonts w:asciiTheme="minorHAnsi" w:hAnsiTheme="minorHAnsi"/>
        </w:rPr>
        <w:t xml:space="preserve"> by the absence of diffraction peak at 40.3 degree. This shows higher content of </w:t>
      </w:r>
      <w:proofErr w:type="gramStart"/>
      <w:r w:rsidRPr="00944E26">
        <w:rPr>
          <w:rFonts w:asciiTheme="minorHAnsi" w:hAnsiTheme="minorHAnsi"/>
        </w:rPr>
        <w:t>As</w:t>
      </w:r>
      <w:proofErr w:type="gramEnd"/>
      <w:r w:rsidRPr="00944E26">
        <w:rPr>
          <w:rFonts w:asciiTheme="minorHAnsi" w:hAnsiTheme="minorHAnsi"/>
        </w:rPr>
        <w:t xml:space="preserve"> suppresses the hexagonal formation. The arsenic suppresses the grain growth by sitting at the grain boundaries. At 300</w:t>
      </w:r>
      <w:r w:rsidR="00E166CC" w:rsidRPr="00944E26">
        <w:rPr>
          <w:rFonts w:asciiTheme="minorHAnsi" w:hAnsiTheme="minorHAnsi"/>
        </w:rPr>
        <w:t xml:space="preserve"> </w:t>
      </w:r>
      <w:proofErr w:type="spellStart"/>
      <w:r w:rsidRPr="00944E26">
        <w:rPr>
          <w:rFonts w:asciiTheme="minorHAnsi" w:hAnsiTheme="minorHAnsi"/>
          <w:vertAlign w:val="superscript"/>
        </w:rPr>
        <w:t>o</w:t>
      </w:r>
      <w:r w:rsidR="00D25981" w:rsidRPr="00944E26">
        <w:rPr>
          <w:rFonts w:asciiTheme="minorHAnsi" w:hAnsiTheme="minorHAnsi"/>
        </w:rPr>
        <w:t>C</w:t>
      </w:r>
      <w:proofErr w:type="spellEnd"/>
      <w:r w:rsidR="00D25981" w:rsidRPr="00944E26">
        <w:rPr>
          <w:rFonts w:asciiTheme="minorHAnsi" w:hAnsiTheme="minorHAnsi"/>
        </w:rPr>
        <w:t xml:space="preserve"> (Fi</w:t>
      </w:r>
      <w:r w:rsidRPr="00944E26">
        <w:rPr>
          <w:rFonts w:asciiTheme="minorHAnsi" w:hAnsiTheme="minorHAnsi"/>
        </w:rPr>
        <w:t>g</w:t>
      </w:r>
      <w:r w:rsidR="00D25981" w:rsidRPr="00944E26">
        <w:rPr>
          <w:rFonts w:asciiTheme="minorHAnsi" w:hAnsiTheme="minorHAnsi"/>
        </w:rPr>
        <w:t>.</w:t>
      </w:r>
      <w:r w:rsidRPr="00944E26">
        <w:rPr>
          <w:rFonts w:asciiTheme="minorHAnsi" w:hAnsiTheme="minorHAnsi"/>
        </w:rPr>
        <w:t xml:space="preserve"> S1(b)) all the samples are crystalline and hexagonal in structure.</w:t>
      </w:r>
    </w:p>
    <w:p w14:paraId="36A6FD23" w14:textId="59576C2E" w:rsidR="00590025" w:rsidRDefault="00590025" w:rsidP="0017504F">
      <w:pPr>
        <w:pStyle w:val="BodyTextIndent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5F50A83" wp14:editId="26AAA4D3">
            <wp:extent cx="3165575" cy="2423160"/>
            <wp:effectExtent l="0" t="0" r="0" b="0"/>
            <wp:docPr id="27" name="Picture 27" descr="D:\Paper\(GST)As paper\Manuscript\SI figures\SI Fig.2 TRANS\Grap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aper\(GST)As paper\Manuscript\SI figures\SI Fig.2 TRANS\Graph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7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9F857" w14:textId="32E59B5A" w:rsidR="00590025" w:rsidRDefault="00590025" w:rsidP="0017504F">
      <w:pPr>
        <w:pStyle w:val="BodyTextIndent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2C288A" wp14:editId="7A8591F0">
            <wp:extent cx="3160598" cy="2419350"/>
            <wp:effectExtent l="0" t="0" r="1905" b="0"/>
            <wp:docPr id="28" name="Picture 28" descr="D:\Paper\(GST)As paper\Manuscript\SI figures\SI Fig.2 TRANS\Grap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aper\(GST)As paper\Manuscript\SI figures\SI Fig.2 TRANS\Graph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26" cy="24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E62B" w14:textId="2EFF80E4" w:rsidR="00590025" w:rsidRPr="00944E26" w:rsidRDefault="00590025" w:rsidP="0017504F">
      <w:pPr>
        <w:pStyle w:val="BodyTextIndent"/>
        <w:ind w:left="0"/>
        <w:jc w:val="both"/>
        <w:rPr>
          <w:rFonts w:asciiTheme="minorHAnsi" w:hAnsiTheme="minorHAnsi"/>
          <w:b/>
          <w:bCs/>
        </w:rPr>
      </w:pPr>
      <w:r w:rsidRPr="00944E26">
        <w:rPr>
          <w:rFonts w:asciiTheme="minorHAnsi" w:hAnsiTheme="minorHAnsi"/>
          <w:b/>
          <w:bCs/>
        </w:rPr>
        <w:t>Fig</w:t>
      </w:r>
      <w:r w:rsidR="0017504F" w:rsidRPr="00944E26">
        <w:rPr>
          <w:rFonts w:asciiTheme="minorHAnsi" w:hAnsiTheme="minorHAnsi"/>
          <w:b/>
          <w:bCs/>
        </w:rPr>
        <w:t xml:space="preserve">ure </w:t>
      </w:r>
      <w:r w:rsidRPr="00944E26">
        <w:rPr>
          <w:rFonts w:asciiTheme="minorHAnsi" w:hAnsiTheme="minorHAnsi"/>
          <w:b/>
          <w:bCs/>
        </w:rPr>
        <w:t>S2</w:t>
      </w:r>
      <w:r w:rsidR="00D25981" w:rsidRPr="00944E26">
        <w:rPr>
          <w:rFonts w:asciiTheme="minorHAnsi" w:hAnsiTheme="minorHAnsi"/>
          <w:b/>
          <w:bCs/>
        </w:rPr>
        <w:t xml:space="preserve">: </w:t>
      </w:r>
      <w:r w:rsidR="00D25981" w:rsidRPr="00944E26">
        <w:rPr>
          <w:rFonts w:asciiTheme="minorHAnsi" w:hAnsiTheme="minorHAnsi"/>
        </w:rPr>
        <w:t xml:space="preserve">The VIS-NIR transmission spectra of the </w:t>
      </w:r>
      <w:r w:rsidR="00D25981" w:rsidRPr="00944E26">
        <w:rPr>
          <w:rFonts w:asciiTheme="minorHAnsi" w:hAnsiTheme="minorHAnsi"/>
          <w:bCs/>
        </w:rPr>
        <w:t>(Ge</w:t>
      </w:r>
      <w:r w:rsidR="00D25981" w:rsidRPr="00944E26">
        <w:rPr>
          <w:rFonts w:asciiTheme="minorHAnsi" w:hAnsiTheme="minorHAnsi"/>
          <w:bCs/>
          <w:vertAlign w:val="subscript"/>
        </w:rPr>
        <w:t>2</w:t>
      </w:r>
      <w:r w:rsidR="00D25981" w:rsidRPr="00944E26">
        <w:rPr>
          <w:rFonts w:asciiTheme="minorHAnsi" w:hAnsiTheme="minorHAnsi"/>
          <w:bCs/>
        </w:rPr>
        <w:t>Sb</w:t>
      </w:r>
      <w:r w:rsidR="00D25981" w:rsidRPr="00944E26">
        <w:rPr>
          <w:rFonts w:asciiTheme="minorHAnsi" w:hAnsiTheme="minorHAnsi"/>
          <w:bCs/>
          <w:vertAlign w:val="subscript"/>
        </w:rPr>
        <w:t>2</w:t>
      </w:r>
      <w:r w:rsidR="00D25981" w:rsidRPr="00944E26">
        <w:rPr>
          <w:rFonts w:asciiTheme="minorHAnsi" w:hAnsiTheme="minorHAnsi"/>
          <w:bCs/>
        </w:rPr>
        <w:t>Te</w:t>
      </w:r>
      <w:r w:rsidR="00D25981" w:rsidRPr="00944E26">
        <w:rPr>
          <w:rFonts w:asciiTheme="minorHAnsi" w:hAnsiTheme="minorHAnsi"/>
          <w:bCs/>
          <w:vertAlign w:val="subscript"/>
        </w:rPr>
        <w:t>5</w:t>
      </w:r>
      <w:r w:rsidR="00D25981" w:rsidRPr="00944E26">
        <w:rPr>
          <w:rFonts w:asciiTheme="minorHAnsi" w:hAnsiTheme="minorHAnsi"/>
          <w:bCs/>
        </w:rPr>
        <w:t>)</w:t>
      </w:r>
      <w:r w:rsidR="00D25981" w:rsidRPr="00944E26">
        <w:rPr>
          <w:rFonts w:asciiTheme="minorHAnsi" w:hAnsiTheme="minorHAnsi"/>
          <w:bCs/>
          <w:vertAlign w:val="subscript"/>
        </w:rPr>
        <w:t>1-x</w:t>
      </w:r>
      <w:r w:rsidR="00D25981" w:rsidRPr="00944E26">
        <w:rPr>
          <w:rFonts w:asciiTheme="minorHAnsi" w:hAnsiTheme="minorHAnsi"/>
          <w:bCs/>
        </w:rPr>
        <w:t>As</w:t>
      </w:r>
      <w:r w:rsidR="00D25981" w:rsidRPr="00944E26">
        <w:rPr>
          <w:rFonts w:asciiTheme="minorHAnsi" w:hAnsiTheme="minorHAnsi"/>
          <w:bCs/>
          <w:vertAlign w:val="subscript"/>
        </w:rPr>
        <w:t>x</w:t>
      </w:r>
      <w:r w:rsidR="00D25981" w:rsidRPr="00944E26">
        <w:rPr>
          <w:rFonts w:asciiTheme="minorHAnsi" w:hAnsiTheme="minorHAnsi"/>
        </w:rPr>
        <w:t xml:space="preserve"> samples annealed (a) 200 </w:t>
      </w:r>
      <w:proofErr w:type="spellStart"/>
      <w:r w:rsidR="00D25981" w:rsidRPr="00944E26">
        <w:rPr>
          <w:rFonts w:asciiTheme="minorHAnsi" w:hAnsiTheme="minorHAnsi"/>
          <w:vertAlign w:val="superscript"/>
        </w:rPr>
        <w:t>o</w:t>
      </w:r>
      <w:r w:rsidR="00D25981" w:rsidRPr="00944E26">
        <w:rPr>
          <w:rFonts w:asciiTheme="minorHAnsi" w:hAnsiTheme="minorHAnsi"/>
        </w:rPr>
        <w:t>C</w:t>
      </w:r>
      <w:proofErr w:type="spellEnd"/>
      <w:r w:rsidR="00D25981" w:rsidRPr="00944E26">
        <w:rPr>
          <w:rFonts w:asciiTheme="minorHAnsi" w:hAnsiTheme="minorHAnsi"/>
        </w:rPr>
        <w:t xml:space="preserve"> and (b) 300 </w:t>
      </w:r>
      <w:proofErr w:type="spellStart"/>
      <w:r w:rsidR="00D25981" w:rsidRPr="00944E26">
        <w:rPr>
          <w:rFonts w:asciiTheme="minorHAnsi" w:hAnsiTheme="minorHAnsi"/>
          <w:vertAlign w:val="superscript"/>
        </w:rPr>
        <w:t>o</w:t>
      </w:r>
      <w:r w:rsidR="00D25981" w:rsidRPr="00944E26">
        <w:rPr>
          <w:rFonts w:asciiTheme="minorHAnsi" w:hAnsiTheme="minorHAnsi"/>
        </w:rPr>
        <w:t>C.</w:t>
      </w:r>
      <w:proofErr w:type="spellEnd"/>
      <w:r w:rsidR="00E166CC" w:rsidRPr="00944E26">
        <w:rPr>
          <w:rFonts w:asciiTheme="minorHAnsi" w:hAnsiTheme="minorHAnsi"/>
        </w:rPr>
        <w:t xml:space="preserve"> The maximum transmission is reduced as a result of crystallization in </w:t>
      </w:r>
      <w:r w:rsidR="0052232C" w:rsidRPr="00944E26">
        <w:rPr>
          <w:rFonts w:asciiTheme="minorHAnsi" w:hAnsiTheme="minorHAnsi"/>
        </w:rPr>
        <w:t>these samples</w:t>
      </w:r>
      <w:r w:rsidR="00E166CC" w:rsidRPr="00944E26">
        <w:rPr>
          <w:rFonts w:asciiTheme="minorHAnsi" w:hAnsiTheme="minorHAnsi"/>
        </w:rPr>
        <w:t>.</w:t>
      </w:r>
    </w:p>
    <w:p w14:paraId="1D32BAD1" w14:textId="38337D13" w:rsidR="00CD4840" w:rsidRDefault="00CD4840"/>
    <w:p w14:paraId="30908AD3" w14:textId="1B007755" w:rsidR="00E70346" w:rsidRDefault="00F06F2E" w:rsidP="00F06F2E">
      <w:pPr>
        <w:jc w:val="center"/>
      </w:pPr>
      <w:r w:rsidRPr="00E84867">
        <w:rPr>
          <w:noProof/>
          <w:color w:val="0070C0"/>
        </w:rPr>
        <w:lastRenderedPageBreak/>
        <w:drawing>
          <wp:inline distT="0" distB="0" distL="0" distR="0" wp14:anchorId="0A7B487A" wp14:editId="49686288">
            <wp:extent cx="3130550" cy="2503267"/>
            <wp:effectExtent l="0" t="0" r="0" b="0"/>
            <wp:docPr id="1" name="Picture 1" descr="D:\IISC Data\d data\GST\Characterisations\SEM&amp;EDAX\24-04-10 GeTe GSTAs films\1.2 GS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ISC Data\d data\GST\Characterisations\SEM&amp;EDAX\24-04-10 GeTe GSTAs films\1.2 GSTA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420" cy="25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1551" w14:textId="56B6A6EC" w:rsidR="00E70346" w:rsidRDefault="00E70346"/>
    <w:p w14:paraId="48266F7D" w14:textId="60D6E408" w:rsidR="00F06F2E" w:rsidRPr="00944E26" w:rsidRDefault="00F06F2E" w:rsidP="00F06F2E">
      <w:pPr>
        <w:spacing w:after="120"/>
        <w:jc w:val="center"/>
        <w:rPr>
          <w:rFonts w:asciiTheme="minorHAnsi" w:hAnsiTheme="minorHAnsi"/>
          <w:color w:val="000000" w:themeColor="text1"/>
        </w:rPr>
      </w:pPr>
      <w:r w:rsidRPr="00944E26">
        <w:rPr>
          <w:rFonts w:asciiTheme="minorHAnsi" w:hAnsiTheme="minorHAnsi"/>
          <w:b/>
          <w:color w:val="000000" w:themeColor="text1"/>
        </w:rPr>
        <w:t>Fig</w:t>
      </w:r>
      <w:r w:rsidRPr="00944E26">
        <w:rPr>
          <w:rFonts w:asciiTheme="minorHAnsi" w:hAnsiTheme="minorHAnsi"/>
          <w:b/>
          <w:color w:val="000000" w:themeColor="text1"/>
        </w:rPr>
        <w:t xml:space="preserve">ure </w:t>
      </w:r>
      <w:r w:rsidRPr="00944E26">
        <w:rPr>
          <w:rFonts w:asciiTheme="minorHAnsi" w:hAnsiTheme="minorHAnsi"/>
          <w:b/>
          <w:color w:val="000000" w:themeColor="text1"/>
        </w:rPr>
        <w:t>S3</w:t>
      </w:r>
      <w:r w:rsidRPr="00944E26">
        <w:rPr>
          <w:rFonts w:asciiTheme="minorHAnsi" w:hAnsiTheme="minorHAnsi"/>
          <w:color w:val="000000" w:themeColor="text1"/>
        </w:rPr>
        <w:t>: EDAX spectra of (GST)</w:t>
      </w:r>
      <w:r w:rsidRPr="00944E26">
        <w:rPr>
          <w:rFonts w:asciiTheme="minorHAnsi" w:hAnsiTheme="minorHAnsi"/>
          <w:color w:val="000000" w:themeColor="text1"/>
          <w:vertAlign w:val="subscript"/>
        </w:rPr>
        <w:t>90</w:t>
      </w:r>
      <w:r w:rsidRPr="00944E26">
        <w:rPr>
          <w:rFonts w:asciiTheme="minorHAnsi" w:hAnsiTheme="minorHAnsi"/>
          <w:color w:val="000000" w:themeColor="text1"/>
        </w:rPr>
        <w:t>As</w:t>
      </w:r>
      <w:r w:rsidRPr="00944E26">
        <w:rPr>
          <w:rFonts w:asciiTheme="minorHAnsi" w:hAnsiTheme="minorHAnsi"/>
          <w:color w:val="000000" w:themeColor="text1"/>
          <w:vertAlign w:val="subscript"/>
        </w:rPr>
        <w:t>10</w:t>
      </w:r>
      <w:r w:rsidRPr="00944E26">
        <w:rPr>
          <w:rFonts w:asciiTheme="minorHAnsi" w:hAnsiTheme="minorHAnsi"/>
          <w:color w:val="000000" w:themeColor="text1"/>
        </w:rPr>
        <w:t xml:space="preserve"> alloy.</w:t>
      </w:r>
    </w:p>
    <w:p w14:paraId="382E8B7E" w14:textId="121F6B4D" w:rsidR="00F06F2E" w:rsidRDefault="00F06F2E"/>
    <w:p w14:paraId="5A641A46" w14:textId="422CB074" w:rsidR="00F06F2E" w:rsidRDefault="00F06F2E">
      <w:pPr>
        <w:rPr>
          <w:color w:val="000000" w:themeColor="text1"/>
        </w:rPr>
      </w:pPr>
    </w:p>
    <w:p w14:paraId="4D414244" w14:textId="57693A1F" w:rsidR="00F06F2E" w:rsidRDefault="00F06F2E"/>
    <w:p w14:paraId="7AE78F39" w14:textId="206E875A" w:rsidR="00F06F2E" w:rsidRDefault="00F06F2E"/>
    <w:p w14:paraId="4B4B5519" w14:textId="77777777" w:rsidR="00F06F2E" w:rsidRDefault="00F06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948"/>
        <w:gridCol w:w="1948"/>
        <w:gridCol w:w="1948"/>
        <w:gridCol w:w="1918"/>
      </w:tblGrid>
      <w:tr w:rsidR="00F06F2E" w:rsidRPr="002C599E" w14:paraId="50E920E8" w14:textId="77777777" w:rsidTr="00062F79">
        <w:tc>
          <w:tcPr>
            <w:tcW w:w="1814" w:type="dxa"/>
          </w:tcPr>
          <w:p w14:paraId="477F8BF7" w14:textId="77777777" w:rsidR="00F06F2E" w:rsidRPr="002C599E" w:rsidRDefault="00F06F2E" w:rsidP="00062F79">
            <w:pPr>
              <w:spacing w:after="120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 xml:space="preserve">Elements </w:t>
            </w:r>
          </w:p>
        </w:tc>
        <w:tc>
          <w:tcPr>
            <w:tcW w:w="1948" w:type="dxa"/>
          </w:tcPr>
          <w:p w14:paraId="032967E3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Ge</w:t>
            </w:r>
          </w:p>
        </w:tc>
        <w:tc>
          <w:tcPr>
            <w:tcW w:w="1948" w:type="dxa"/>
          </w:tcPr>
          <w:p w14:paraId="66832B2E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Sb</w:t>
            </w:r>
          </w:p>
        </w:tc>
        <w:tc>
          <w:tcPr>
            <w:tcW w:w="1948" w:type="dxa"/>
          </w:tcPr>
          <w:p w14:paraId="511C7B00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2C599E">
              <w:rPr>
                <w:color w:val="000000" w:themeColor="text1"/>
              </w:rPr>
              <w:t>Te</w:t>
            </w:r>
            <w:proofErr w:type="spellEnd"/>
          </w:p>
        </w:tc>
        <w:tc>
          <w:tcPr>
            <w:tcW w:w="1918" w:type="dxa"/>
          </w:tcPr>
          <w:p w14:paraId="4CA78012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As</w:t>
            </w:r>
          </w:p>
        </w:tc>
      </w:tr>
      <w:tr w:rsidR="00F06F2E" w:rsidRPr="002C599E" w14:paraId="633EB80A" w14:textId="77777777" w:rsidTr="00062F79">
        <w:tc>
          <w:tcPr>
            <w:tcW w:w="1814" w:type="dxa"/>
          </w:tcPr>
          <w:p w14:paraId="1AA0537A" w14:textId="77777777" w:rsidR="00F06F2E" w:rsidRPr="002C599E" w:rsidRDefault="00F06F2E" w:rsidP="00062F79">
            <w:pPr>
              <w:spacing w:after="120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At% observed</w:t>
            </w:r>
          </w:p>
        </w:tc>
        <w:tc>
          <w:tcPr>
            <w:tcW w:w="1948" w:type="dxa"/>
          </w:tcPr>
          <w:p w14:paraId="13AF3814" w14:textId="3E295BF8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20.01</w:t>
            </w:r>
          </w:p>
        </w:tc>
        <w:tc>
          <w:tcPr>
            <w:tcW w:w="1948" w:type="dxa"/>
          </w:tcPr>
          <w:p w14:paraId="4407190E" w14:textId="53BA1FAB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13.55</w:t>
            </w:r>
          </w:p>
        </w:tc>
        <w:tc>
          <w:tcPr>
            <w:tcW w:w="1948" w:type="dxa"/>
          </w:tcPr>
          <w:p w14:paraId="5F58F3FE" w14:textId="265DD683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60.69</w:t>
            </w:r>
          </w:p>
        </w:tc>
        <w:tc>
          <w:tcPr>
            <w:tcW w:w="1918" w:type="dxa"/>
          </w:tcPr>
          <w:p w14:paraId="7295432B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5.75</w:t>
            </w:r>
          </w:p>
        </w:tc>
      </w:tr>
      <w:tr w:rsidR="00F06F2E" w:rsidRPr="002C599E" w14:paraId="7695D5A3" w14:textId="77777777" w:rsidTr="00062F79">
        <w:tc>
          <w:tcPr>
            <w:tcW w:w="1814" w:type="dxa"/>
          </w:tcPr>
          <w:p w14:paraId="7827355D" w14:textId="77777777" w:rsidR="00F06F2E" w:rsidRPr="002C599E" w:rsidRDefault="00F06F2E" w:rsidP="00062F79">
            <w:pPr>
              <w:spacing w:after="120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At% Expected</w:t>
            </w:r>
          </w:p>
        </w:tc>
        <w:tc>
          <w:tcPr>
            <w:tcW w:w="1948" w:type="dxa"/>
          </w:tcPr>
          <w:p w14:paraId="133739E8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20</w:t>
            </w:r>
          </w:p>
        </w:tc>
        <w:tc>
          <w:tcPr>
            <w:tcW w:w="1948" w:type="dxa"/>
          </w:tcPr>
          <w:p w14:paraId="48B53C58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20</w:t>
            </w:r>
          </w:p>
        </w:tc>
        <w:tc>
          <w:tcPr>
            <w:tcW w:w="1948" w:type="dxa"/>
          </w:tcPr>
          <w:p w14:paraId="6BD8C53F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50</w:t>
            </w:r>
          </w:p>
        </w:tc>
        <w:tc>
          <w:tcPr>
            <w:tcW w:w="1918" w:type="dxa"/>
          </w:tcPr>
          <w:p w14:paraId="7613F473" w14:textId="77777777" w:rsidR="00F06F2E" w:rsidRPr="002C599E" w:rsidRDefault="00F06F2E" w:rsidP="00F06F2E">
            <w:pPr>
              <w:spacing w:after="120"/>
              <w:jc w:val="center"/>
              <w:rPr>
                <w:color w:val="000000" w:themeColor="text1"/>
              </w:rPr>
            </w:pPr>
            <w:r w:rsidRPr="002C599E">
              <w:rPr>
                <w:color w:val="000000" w:themeColor="text1"/>
              </w:rPr>
              <w:t>10</w:t>
            </w:r>
          </w:p>
        </w:tc>
      </w:tr>
    </w:tbl>
    <w:p w14:paraId="782BAA18" w14:textId="77777777" w:rsidR="00F06F2E" w:rsidRDefault="00F06F2E" w:rsidP="00F06F2E">
      <w:pPr>
        <w:spacing w:after="120"/>
        <w:jc w:val="center"/>
        <w:rPr>
          <w:color w:val="000000" w:themeColor="text1"/>
        </w:rPr>
      </w:pPr>
    </w:p>
    <w:p w14:paraId="5882A509" w14:textId="0D6F0BFD" w:rsidR="00F06F2E" w:rsidRPr="00944E26" w:rsidRDefault="00F06F2E" w:rsidP="00F06F2E">
      <w:pPr>
        <w:spacing w:after="120"/>
        <w:jc w:val="center"/>
        <w:rPr>
          <w:rFonts w:asciiTheme="minorHAnsi" w:hAnsiTheme="minorHAnsi"/>
          <w:color w:val="000000" w:themeColor="text1"/>
        </w:rPr>
      </w:pPr>
      <w:bookmarkStart w:id="0" w:name="_GoBack"/>
      <w:r w:rsidRPr="00944E26">
        <w:rPr>
          <w:rFonts w:asciiTheme="minorHAnsi" w:hAnsiTheme="minorHAnsi"/>
          <w:b/>
          <w:color w:val="000000" w:themeColor="text1"/>
        </w:rPr>
        <w:t>Table S1</w:t>
      </w:r>
      <w:r w:rsidRPr="00944E26">
        <w:rPr>
          <w:rFonts w:asciiTheme="minorHAnsi" w:hAnsiTheme="minorHAnsi"/>
          <w:color w:val="000000" w:themeColor="text1"/>
        </w:rPr>
        <w:t>: Quantification table of (GST)</w:t>
      </w:r>
      <w:r w:rsidRPr="00944E26">
        <w:rPr>
          <w:rFonts w:asciiTheme="minorHAnsi" w:hAnsiTheme="minorHAnsi"/>
          <w:color w:val="000000" w:themeColor="text1"/>
          <w:vertAlign w:val="subscript"/>
        </w:rPr>
        <w:t>90</w:t>
      </w:r>
      <w:r w:rsidRPr="00944E26">
        <w:rPr>
          <w:rFonts w:asciiTheme="minorHAnsi" w:hAnsiTheme="minorHAnsi"/>
          <w:color w:val="000000" w:themeColor="text1"/>
        </w:rPr>
        <w:t>As</w:t>
      </w:r>
      <w:r w:rsidRPr="00944E26">
        <w:rPr>
          <w:rFonts w:asciiTheme="minorHAnsi" w:hAnsiTheme="minorHAnsi"/>
          <w:color w:val="000000" w:themeColor="text1"/>
          <w:vertAlign w:val="subscript"/>
        </w:rPr>
        <w:t>10</w:t>
      </w:r>
      <w:r w:rsidRPr="00944E26">
        <w:rPr>
          <w:rFonts w:asciiTheme="minorHAnsi" w:hAnsiTheme="minorHAnsi"/>
          <w:color w:val="000000" w:themeColor="text1"/>
        </w:rPr>
        <w:t xml:space="preserve"> table from EDAX analysis.</w:t>
      </w:r>
    </w:p>
    <w:bookmarkEnd w:id="0"/>
    <w:p w14:paraId="3242CB57" w14:textId="77777777" w:rsidR="00F06F2E" w:rsidRDefault="00F06F2E"/>
    <w:sectPr w:rsidR="00F0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25"/>
    <w:rsid w:val="0017504F"/>
    <w:rsid w:val="0052232C"/>
    <w:rsid w:val="00590025"/>
    <w:rsid w:val="0059476C"/>
    <w:rsid w:val="007B33EE"/>
    <w:rsid w:val="007D56A1"/>
    <w:rsid w:val="00944E26"/>
    <w:rsid w:val="00B87DCC"/>
    <w:rsid w:val="00CD4840"/>
    <w:rsid w:val="00D25981"/>
    <w:rsid w:val="00E166CC"/>
    <w:rsid w:val="00E70346"/>
    <w:rsid w:val="00F0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4AB8"/>
  <w15:docId w15:val="{C65F2B14-CBD2-FB4F-A185-D9D622F9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00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00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87DCC"/>
    <w:rPr>
      <w:color w:val="0000FF"/>
      <w:u w:val="single"/>
    </w:rPr>
  </w:style>
  <w:style w:type="table" w:styleId="TableGrid">
    <w:name w:val="Table Grid"/>
    <w:basedOn w:val="TableNormal"/>
    <w:rsid w:val="00F0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kachmar@hbku.edu.qa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vmadhavan@hbku.edu.q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Foundation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 E. M.</dc:creator>
  <cp:lastModifiedBy>Dr. Marcelo A. Carignano</cp:lastModifiedBy>
  <cp:revision>11</cp:revision>
  <dcterms:created xsi:type="dcterms:W3CDTF">2016-10-20T11:04:00Z</dcterms:created>
  <dcterms:modified xsi:type="dcterms:W3CDTF">2019-06-03T07:30:00Z</dcterms:modified>
</cp:coreProperties>
</file>