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3B0" w:rsidRPr="00CE7BF6" w:rsidRDefault="000233B0" w:rsidP="00087F64">
      <w:pPr>
        <w:pStyle w:val="BATitle"/>
        <w:rPr>
          <w:rFonts w:asciiTheme="minorHAnsi" w:hAnsiTheme="minorHAnsi" w:cstheme="minorHAnsi"/>
          <w:b/>
          <w:bCs/>
          <w:sz w:val="32"/>
          <w:szCs w:val="32"/>
          <w:lang w:val="en-AU"/>
        </w:rPr>
      </w:pPr>
      <w:bookmarkStart w:id="0" w:name="_GoBack"/>
      <w:bookmarkEnd w:id="0"/>
      <w:r w:rsidRPr="00CE7BF6">
        <w:rPr>
          <w:rFonts w:asciiTheme="minorHAnsi" w:hAnsiTheme="minorHAnsi" w:cstheme="minorHAnsi"/>
          <w:b/>
          <w:sz w:val="32"/>
          <w:szCs w:val="32"/>
        </w:rPr>
        <w:t>Supporting Information</w:t>
      </w:r>
    </w:p>
    <w:p w:rsidR="00B41D93" w:rsidRPr="00B41D93" w:rsidRDefault="00B41D93" w:rsidP="00B41D93">
      <w:pPr>
        <w:spacing w:line="360" w:lineRule="auto"/>
        <w:jc w:val="center"/>
        <w:rPr>
          <w:rFonts w:asciiTheme="minorHAnsi" w:hAnsiTheme="minorHAnsi" w:cstheme="minorHAnsi"/>
          <w:b/>
          <w:bCs/>
          <w:sz w:val="32"/>
          <w:szCs w:val="32"/>
        </w:rPr>
      </w:pPr>
      <w:bookmarkStart w:id="1" w:name="_Hlk6661338"/>
      <w:r w:rsidRPr="00B41D93">
        <w:rPr>
          <w:rFonts w:asciiTheme="minorHAnsi" w:hAnsiTheme="minorHAnsi" w:cstheme="minorHAnsi"/>
          <w:b/>
          <w:bCs/>
          <w:sz w:val="32"/>
          <w:szCs w:val="32"/>
        </w:rPr>
        <w:t>Highly ordered Iron oxide-mesoporous fullerene nanocomposites for oxygen reduction reaction and supercapacit</w:t>
      </w:r>
      <w:bookmarkEnd w:id="1"/>
      <w:r w:rsidRPr="00B41D93">
        <w:rPr>
          <w:rFonts w:asciiTheme="minorHAnsi" w:hAnsiTheme="minorHAnsi" w:cstheme="minorHAnsi"/>
          <w:b/>
          <w:bCs/>
          <w:sz w:val="32"/>
          <w:szCs w:val="32"/>
        </w:rPr>
        <w:t>or applications</w:t>
      </w:r>
    </w:p>
    <w:p w:rsidR="00B41D93" w:rsidRDefault="00B41D93" w:rsidP="009640A3">
      <w:pPr>
        <w:pStyle w:val="BBAuthorName"/>
        <w:rPr>
          <w:rFonts w:asciiTheme="minorHAnsi" w:hAnsiTheme="minorHAnsi" w:cstheme="minorHAnsi"/>
          <w:lang w:val="de-DE"/>
        </w:rPr>
      </w:pPr>
    </w:p>
    <w:p w:rsidR="00A064F7" w:rsidRPr="00CE7BF6" w:rsidRDefault="00A064F7" w:rsidP="009640A3">
      <w:pPr>
        <w:pStyle w:val="BBAuthorName"/>
        <w:rPr>
          <w:rFonts w:asciiTheme="minorHAnsi" w:hAnsiTheme="minorHAnsi" w:cstheme="minorHAnsi"/>
        </w:rPr>
      </w:pPr>
      <w:r w:rsidRPr="00CE7BF6">
        <w:rPr>
          <w:rFonts w:asciiTheme="minorHAnsi" w:hAnsiTheme="minorHAnsi" w:cstheme="minorHAnsi"/>
          <w:lang w:val="de-DE"/>
        </w:rPr>
        <w:t>Mercy R. Benzigar,</w:t>
      </w:r>
      <w:r w:rsidRPr="00CE7BF6">
        <w:rPr>
          <w:rFonts w:asciiTheme="minorHAnsi" w:hAnsiTheme="minorHAnsi" w:cstheme="minorHAnsi"/>
          <w:vertAlign w:val="superscript"/>
          <w:lang w:val="de-DE"/>
        </w:rPr>
        <w:t>a,b</w:t>
      </w:r>
      <w:r w:rsidRPr="00CE7BF6">
        <w:rPr>
          <w:rFonts w:asciiTheme="minorHAnsi" w:hAnsiTheme="minorHAnsi" w:cstheme="minorHAnsi"/>
          <w:lang w:val="de-DE"/>
        </w:rPr>
        <w:t xml:space="preserve"> Stalin Joseph,</w:t>
      </w:r>
      <w:r w:rsidRPr="00CE7BF6">
        <w:rPr>
          <w:rFonts w:asciiTheme="minorHAnsi" w:hAnsiTheme="minorHAnsi" w:cstheme="minorHAnsi"/>
          <w:vertAlign w:val="superscript"/>
          <w:lang w:val="de-DE"/>
        </w:rPr>
        <w:t>a,b</w:t>
      </w:r>
      <w:r w:rsidR="00630766">
        <w:rPr>
          <w:rFonts w:asciiTheme="minorHAnsi" w:hAnsiTheme="minorHAnsi" w:cstheme="minorHAnsi"/>
          <w:lang w:val="de-DE"/>
        </w:rPr>
        <w:t xml:space="preserve"> Gopalan Saia</w:t>
      </w:r>
      <w:r w:rsidRPr="00CE7BF6">
        <w:rPr>
          <w:rFonts w:asciiTheme="minorHAnsi" w:hAnsiTheme="minorHAnsi" w:cstheme="minorHAnsi"/>
          <w:lang w:val="de-DE"/>
        </w:rPr>
        <w:t>nand,</w:t>
      </w:r>
      <w:r w:rsidRPr="00CE7BF6">
        <w:rPr>
          <w:rFonts w:asciiTheme="minorHAnsi" w:hAnsiTheme="minorHAnsi" w:cstheme="minorHAnsi"/>
          <w:vertAlign w:val="superscript"/>
          <w:lang w:val="de-DE"/>
        </w:rPr>
        <w:t>a,b</w:t>
      </w:r>
      <w:r w:rsidRPr="00CE7BF6">
        <w:rPr>
          <w:rFonts w:asciiTheme="minorHAnsi" w:hAnsiTheme="minorHAnsi" w:cstheme="minorHAnsi"/>
          <w:lang w:val="de-DE"/>
        </w:rPr>
        <w:t>* Anantha-Iyengar Gopalan</w:t>
      </w:r>
      <w:r w:rsidRPr="00CE7BF6">
        <w:rPr>
          <w:rFonts w:asciiTheme="minorHAnsi" w:hAnsiTheme="minorHAnsi" w:cstheme="minorHAnsi"/>
          <w:vertAlign w:val="superscript"/>
          <w:lang w:val="de-DE"/>
        </w:rPr>
        <w:t>c</w:t>
      </w:r>
      <w:r w:rsidRPr="00CE7BF6">
        <w:rPr>
          <w:rFonts w:asciiTheme="minorHAnsi" w:hAnsiTheme="minorHAnsi" w:cstheme="minorHAnsi"/>
          <w:lang w:val="de-DE"/>
        </w:rPr>
        <w:t>, Sujoy Sarkar,</w:t>
      </w:r>
      <w:r w:rsidRPr="00CE7BF6">
        <w:rPr>
          <w:rFonts w:asciiTheme="minorHAnsi" w:hAnsiTheme="minorHAnsi" w:cstheme="minorHAnsi"/>
          <w:vertAlign w:val="superscript"/>
          <w:lang w:val="de-DE"/>
        </w:rPr>
        <w:t>d</w:t>
      </w:r>
      <w:r w:rsidRPr="00CE7BF6">
        <w:rPr>
          <w:rFonts w:asciiTheme="minorHAnsi" w:hAnsiTheme="minorHAnsi" w:cstheme="minorHAnsi"/>
          <w:lang w:val="de-DE"/>
        </w:rPr>
        <w:t xml:space="preserve"> Sampath Srinivasan,</w:t>
      </w:r>
      <w:r w:rsidRPr="00CE7BF6">
        <w:rPr>
          <w:rFonts w:asciiTheme="minorHAnsi" w:hAnsiTheme="minorHAnsi" w:cstheme="minorHAnsi"/>
          <w:vertAlign w:val="superscript"/>
          <w:lang w:val="de-DE"/>
        </w:rPr>
        <w:t>d</w:t>
      </w:r>
      <w:r w:rsidRPr="00CE7BF6">
        <w:rPr>
          <w:rFonts w:asciiTheme="minorHAnsi" w:hAnsiTheme="minorHAnsi" w:cstheme="minorHAnsi"/>
          <w:lang w:val="de-DE"/>
        </w:rPr>
        <w:t xml:space="preserve"> Dae-Hwan Park,</w:t>
      </w:r>
      <w:r w:rsidRPr="00CE7BF6">
        <w:rPr>
          <w:rFonts w:asciiTheme="minorHAnsi" w:hAnsiTheme="minorHAnsi" w:cstheme="minorHAnsi"/>
          <w:vertAlign w:val="superscript"/>
          <w:lang w:val="de-DE"/>
        </w:rPr>
        <w:t>a,b</w:t>
      </w:r>
      <w:r w:rsidRPr="00CE7BF6">
        <w:rPr>
          <w:rFonts w:asciiTheme="minorHAnsi" w:hAnsiTheme="minorHAnsi" w:cstheme="minorHAnsi"/>
          <w:lang w:val="de-DE"/>
        </w:rPr>
        <w:t xml:space="preserve"> Sung-Ho Kim,</w:t>
      </w:r>
      <w:r w:rsidRPr="00CE7BF6">
        <w:rPr>
          <w:rFonts w:asciiTheme="minorHAnsi" w:hAnsiTheme="minorHAnsi" w:cstheme="minorHAnsi"/>
          <w:vertAlign w:val="superscript"/>
          <w:lang w:val="de-DE"/>
        </w:rPr>
        <w:t>b</w:t>
      </w:r>
      <w:r w:rsidRPr="00CE7BF6">
        <w:rPr>
          <w:rFonts w:asciiTheme="minorHAnsi" w:hAnsiTheme="minorHAnsi" w:cstheme="minorHAnsi"/>
          <w:lang w:val="de-DE"/>
        </w:rPr>
        <w:t xml:space="preserve"> </w:t>
      </w:r>
      <w:r w:rsidR="006104C6" w:rsidRPr="00CE7BF6">
        <w:rPr>
          <w:rFonts w:asciiTheme="minorHAnsi" w:hAnsiTheme="minorHAnsi" w:cstheme="minorHAnsi"/>
          <w:lang w:val="de-DE"/>
        </w:rPr>
        <w:t>Siddulu Naidu Talapaneni,</w:t>
      </w:r>
      <w:r w:rsidR="006104C6" w:rsidRPr="00CE7BF6">
        <w:rPr>
          <w:rFonts w:asciiTheme="minorHAnsi" w:hAnsiTheme="minorHAnsi" w:cstheme="minorHAnsi"/>
          <w:vertAlign w:val="superscript"/>
          <w:lang w:val="de-DE"/>
        </w:rPr>
        <w:t>a,b</w:t>
      </w:r>
      <w:r w:rsidR="006104C6" w:rsidRPr="00CE7BF6">
        <w:rPr>
          <w:rFonts w:asciiTheme="minorHAnsi" w:hAnsiTheme="minorHAnsi" w:cstheme="minorHAnsi"/>
          <w:lang w:val="de-DE"/>
        </w:rPr>
        <w:t xml:space="preserve"> Kavitha Ramadass,</w:t>
      </w:r>
      <w:r w:rsidR="006104C6" w:rsidRPr="00CE7BF6">
        <w:rPr>
          <w:rFonts w:asciiTheme="minorHAnsi" w:hAnsiTheme="minorHAnsi" w:cstheme="minorHAnsi"/>
          <w:vertAlign w:val="superscript"/>
          <w:lang w:val="de-DE"/>
        </w:rPr>
        <w:t>a,b</w:t>
      </w:r>
      <w:r w:rsidR="006104C6" w:rsidRPr="00CE7BF6">
        <w:rPr>
          <w:rFonts w:asciiTheme="minorHAnsi" w:hAnsiTheme="minorHAnsi" w:cstheme="minorHAnsi"/>
          <w:lang w:val="de-DE"/>
        </w:rPr>
        <w:t xml:space="preserve"> </w:t>
      </w:r>
      <w:r w:rsidRPr="00CE7BF6">
        <w:rPr>
          <w:rFonts w:asciiTheme="minorHAnsi" w:hAnsiTheme="minorHAnsi" w:cstheme="minorHAnsi"/>
          <w:lang w:val="de-DE"/>
        </w:rPr>
        <w:t>and Ajayan Vinu</w:t>
      </w:r>
      <w:r w:rsidRPr="00CE7BF6">
        <w:rPr>
          <w:rFonts w:asciiTheme="minorHAnsi" w:hAnsiTheme="minorHAnsi" w:cstheme="minorHAnsi"/>
          <w:vertAlign w:val="superscript"/>
          <w:lang w:val="de-DE"/>
        </w:rPr>
        <w:t>a,b</w:t>
      </w:r>
      <w:r w:rsidRPr="00CE7BF6">
        <w:rPr>
          <w:rFonts w:asciiTheme="minorHAnsi" w:hAnsiTheme="minorHAnsi" w:cstheme="minorHAnsi"/>
          <w:lang w:val="de-DE"/>
        </w:rPr>
        <w:t>*</w:t>
      </w:r>
    </w:p>
    <w:p w:rsidR="00A064F7" w:rsidRDefault="00F4543F" w:rsidP="009D08F1">
      <w:pPr>
        <w:pStyle w:val="BBAuthorName"/>
        <w:rPr>
          <w:rFonts w:asciiTheme="minorHAnsi" w:hAnsiTheme="minorHAnsi" w:cstheme="minorHAnsi"/>
          <w:kern w:val="22"/>
          <w:sz w:val="20"/>
        </w:rPr>
      </w:pPr>
      <w:r w:rsidRPr="00CE7BF6">
        <w:rPr>
          <w:rFonts w:asciiTheme="minorHAnsi" w:hAnsiTheme="minorHAnsi" w:cstheme="minorHAnsi"/>
          <w:sz w:val="20"/>
          <w:vertAlign w:val="superscript"/>
        </w:rPr>
        <w:t>a</w:t>
      </w:r>
      <w:r w:rsidR="00A064F7" w:rsidRPr="00CE7BF6">
        <w:rPr>
          <w:rFonts w:asciiTheme="minorHAnsi" w:hAnsiTheme="minorHAnsi" w:cstheme="minorHAnsi"/>
          <w:kern w:val="22"/>
          <w:sz w:val="20"/>
        </w:rPr>
        <w:t>Global Innovative Center for Advanced Nanomaterials, Faculty of Engineering and Built Environment, The University of Newcastle, Callaghan Campus, New South Wales 2308, Australia</w:t>
      </w:r>
    </w:p>
    <w:p w:rsidR="009D2741" w:rsidRDefault="009D2741" w:rsidP="009D2741">
      <w:pPr>
        <w:tabs>
          <w:tab w:val="left" w:pos="284"/>
        </w:tabs>
        <w:spacing w:after="0" w:line="360" w:lineRule="auto"/>
        <w:jc w:val="center"/>
        <w:rPr>
          <w:rFonts w:ascii="Calibri" w:eastAsia="Malgun Gothic" w:hAnsi="Calibri"/>
          <w:i/>
          <w:w w:val="105"/>
          <w:sz w:val="20"/>
          <w:lang w:val="en-GB"/>
        </w:rPr>
      </w:pPr>
      <w:r>
        <w:rPr>
          <w:rFonts w:ascii="Calibri" w:eastAsia="Malgun Gothic" w:hAnsi="Calibri"/>
          <w:i/>
          <w:w w:val="105"/>
          <w:sz w:val="20"/>
          <w:lang w:val="en-GB"/>
        </w:rPr>
        <w:t xml:space="preserve">Email*: </w:t>
      </w:r>
      <w:r w:rsidRPr="009D2741">
        <w:rPr>
          <w:rFonts w:ascii="Calibri" w:eastAsia="Malgun Gothic" w:hAnsi="Calibri"/>
          <w:i/>
          <w:w w:val="105"/>
          <w:sz w:val="20"/>
          <w:lang w:val="en-GB"/>
        </w:rPr>
        <w:t>Ajayan.Vinu@newcastle.edu.au</w:t>
      </w:r>
      <w:r>
        <w:rPr>
          <w:rFonts w:ascii="Calibri" w:eastAsia="Malgun Gothic" w:hAnsi="Calibri"/>
          <w:i/>
          <w:w w:val="105"/>
          <w:sz w:val="20"/>
          <w:lang w:val="en-GB"/>
        </w:rPr>
        <w:t>; SaiAnand.Gopalan@newcastle.edu.au</w:t>
      </w:r>
    </w:p>
    <w:p w:rsidR="009D2741" w:rsidRDefault="009D2741" w:rsidP="009D08F1">
      <w:pPr>
        <w:pStyle w:val="BBAuthorName"/>
        <w:rPr>
          <w:rFonts w:asciiTheme="minorHAnsi" w:hAnsiTheme="minorHAnsi" w:cstheme="minorHAnsi"/>
          <w:kern w:val="22"/>
          <w:sz w:val="20"/>
          <w:vertAlign w:val="superscript"/>
        </w:rPr>
      </w:pPr>
    </w:p>
    <w:p w:rsidR="00F4543F" w:rsidRPr="00CE7BF6" w:rsidRDefault="00F4543F" w:rsidP="009D08F1">
      <w:pPr>
        <w:pStyle w:val="BBAuthorName"/>
        <w:rPr>
          <w:rFonts w:asciiTheme="minorHAnsi" w:hAnsiTheme="minorHAnsi" w:cstheme="minorHAnsi"/>
          <w:kern w:val="22"/>
          <w:sz w:val="20"/>
        </w:rPr>
      </w:pPr>
      <w:r w:rsidRPr="00CE7BF6">
        <w:rPr>
          <w:rFonts w:asciiTheme="minorHAnsi" w:hAnsiTheme="minorHAnsi" w:cstheme="minorHAnsi"/>
          <w:kern w:val="22"/>
          <w:sz w:val="20"/>
          <w:vertAlign w:val="superscript"/>
        </w:rPr>
        <w:t>b</w:t>
      </w:r>
      <w:r w:rsidRPr="00CE7BF6">
        <w:rPr>
          <w:rFonts w:asciiTheme="minorHAnsi" w:hAnsiTheme="minorHAnsi" w:cstheme="minorHAnsi"/>
          <w:kern w:val="22"/>
          <w:sz w:val="20"/>
        </w:rPr>
        <w:t>Future Industries Institute, Division of Information Technology, Engineering and Environment, University of South Australia, Mawson Lakes, South Australia 5095, Australia</w:t>
      </w:r>
    </w:p>
    <w:p w:rsidR="00A064F7" w:rsidRPr="00CE7BF6" w:rsidRDefault="00A064F7" w:rsidP="009D08F1">
      <w:pPr>
        <w:pStyle w:val="BBAuthorName"/>
        <w:rPr>
          <w:rFonts w:asciiTheme="minorHAnsi" w:hAnsiTheme="minorHAnsi" w:cstheme="minorHAnsi"/>
          <w:kern w:val="22"/>
          <w:sz w:val="20"/>
          <w:vertAlign w:val="superscript"/>
        </w:rPr>
      </w:pPr>
      <w:r w:rsidRPr="00CE7BF6">
        <w:rPr>
          <w:rFonts w:asciiTheme="minorHAnsi" w:hAnsiTheme="minorHAnsi" w:cstheme="minorHAnsi"/>
          <w:kern w:val="22"/>
          <w:sz w:val="20"/>
          <w:vertAlign w:val="superscript"/>
        </w:rPr>
        <w:t>c</w:t>
      </w:r>
      <w:r w:rsidRPr="00CE7BF6">
        <w:rPr>
          <w:rFonts w:asciiTheme="minorHAnsi" w:hAnsiTheme="minorHAnsi" w:cstheme="minorHAnsi"/>
          <w:kern w:val="22"/>
          <w:sz w:val="20"/>
        </w:rPr>
        <w:t>Research Institute of Advanced Energy Technology, Kyungpook National University, Daegu 41566, South Korea</w:t>
      </w:r>
    </w:p>
    <w:p w:rsidR="00AF29C3" w:rsidRPr="00CE7BF6" w:rsidRDefault="00A064F7" w:rsidP="009D08F1">
      <w:pPr>
        <w:pStyle w:val="BBAuthorName"/>
        <w:ind w:left="-142"/>
        <w:rPr>
          <w:rFonts w:asciiTheme="minorHAnsi" w:hAnsiTheme="minorHAnsi" w:cstheme="minorHAnsi"/>
          <w:kern w:val="22"/>
          <w:sz w:val="20"/>
        </w:rPr>
      </w:pPr>
      <w:r w:rsidRPr="00CE7BF6">
        <w:rPr>
          <w:rFonts w:asciiTheme="minorHAnsi" w:hAnsiTheme="minorHAnsi" w:cstheme="minorHAnsi"/>
          <w:kern w:val="22"/>
          <w:sz w:val="20"/>
          <w:vertAlign w:val="superscript"/>
        </w:rPr>
        <w:t>d</w:t>
      </w:r>
      <w:r w:rsidRPr="00CE7BF6">
        <w:rPr>
          <w:rFonts w:asciiTheme="minorHAnsi" w:hAnsiTheme="minorHAnsi" w:cstheme="minorHAnsi"/>
          <w:kern w:val="22"/>
          <w:sz w:val="20"/>
        </w:rPr>
        <w:t>Department of Inorganic and Physical Chemistry, Indian Institute of Science, Bangalore 560 012, Karnataka, India</w:t>
      </w:r>
    </w:p>
    <w:p w:rsidR="00A51D2F" w:rsidRDefault="00A51D2F" w:rsidP="00A51D2F">
      <w:pPr>
        <w:pStyle w:val="FACorrespondingAuthorFootnote"/>
        <w:spacing w:after="0"/>
        <w:jc w:val="left"/>
        <w:rPr>
          <w:b/>
        </w:rPr>
      </w:pPr>
    </w:p>
    <w:p w:rsidR="00E80224" w:rsidRDefault="00E80224" w:rsidP="00E80224">
      <w:pPr>
        <w:pStyle w:val="TAMainText"/>
      </w:pPr>
    </w:p>
    <w:p w:rsidR="00E80224" w:rsidRDefault="00E80224" w:rsidP="00E80224">
      <w:pPr>
        <w:pStyle w:val="TAMainText"/>
      </w:pPr>
    </w:p>
    <w:p w:rsidR="00E80224" w:rsidRPr="009B7448" w:rsidRDefault="00E80224" w:rsidP="00E80224">
      <w:pPr>
        <w:spacing w:line="480" w:lineRule="auto"/>
        <w:rPr>
          <w:rFonts w:asciiTheme="minorHAnsi" w:eastAsiaTheme="minorEastAsia" w:hAnsiTheme="minorHAnsi" w:cstheme="minorBidi"/>
          <w:b/>
          <w:szCs w:val="24"/>
          <w:lang w:val="en-AU" w:eastAsia="ja-JP"/>
        </w:rPr>
      </w:pPr>
      <w:r w:rsidRPr="009B7448">
        <w:rPr>
          <w:rFonts w:asciiTheme="minorHAnsi" w:eastAsiaTheme="minorEastAsia" w:hAnsiTheme="minorHAnsi" w:cstheme="minorBidi"/>
          <w:b/>
          <w:szCs w:val="24"/>
          <w:lang w:val="en-AU" w:eastAsia="ja-JP"/>
        </w:rPr>
        <w:lastRenderedPageBreak/>
        <w:t>Electrochemical assembly and electrode preparation for ORR and supercapacitor studies</w:t>
      </w:r>
    </w:p>
    <w:p w:rsidR="00E80224" w:rsidRPr="009B7448" w:rsidRDefault="00E80224" w:rsidP="009B7448">
      <w:pPr>
        <w:pStyle w:val="ListParagraph"/>
        <w:numPr>
          <w:ilvl w:val="0"/>
          <w:numId w:val="12"/>
        </w:numPr>
        <w:spacing w:line="480" w:lineRule="auto"/>
        <w:ind w:left="426"/>
        <w:jc w:val="both"/>
        <w:rPr>
          <w:b/>
          <w:i/>
          <w:sz w:val="24"/>
          <w:szCs w:val="24"/>
        </w:rPr>
      </w:pPr>
      <w:r w:rsidRPr="009B7448">
        <w:rPr>
          <w:b/>
          <w:i/>
          <w:sz w:val="24"/>
          <w:szCs w:val="24"/>
        </w:rPr>
        <w:t>Electrode fabrication for ORR</w:t>
      </w:r>
    </w:p>
    <w:p w:rsidR="00E80224" w:rsidRDefault="00E80224" w:rsidP="009B7448">
      <w:pPr>
        <w:pStyle w:val="ListParagraph"/>
        <w:spacing w:line="480" w:lineRule="auto"/>
        <w:ind w:left="0"/>
        <w:jc w:val="both"/>
      </w:pPr>
      <w:r w:rsidRPr="00B75509">
        <w:t>To study the electrochemical activity of ORR, a conventional three-electrode electrochemical cell was employed and electrochemical measurements were carried out at room temperature in 0.5 M KOH solution. Modified glassy carbon electrodes (GCE), Hg/HgO, OH</w:t>
      </w:r>
      <w:r w:rsidRPr="00E314E2">
        <w:rPr>
          <w:rFonts w:ascii="Symbol" w:hAnsi="Symbol"/>
          <w:vertAlign w:val="superscript"/>
        </w:rPr>
        <w:t></w:t>
      </w:r>
      <w:r w:rsidRPr="00B75509">
        <w:t xml:space="preserve"> (Mercury/mercuric oxide, MMO) and Pt foil were utilized as working, reference and counter electrodes, respectively. The measured potentials vs MMO were calibrated into reversible hydrogen electrode (RHE) scale according to the Nernst equation </w:t>
      </w:r>
      <w:r w:rsidRPr="00F83317">
        <w:t>(</w:t>
      </w:r>
      <m:oMath>
        <m:sSub>
          <m:sSubPr>
            <m:ctrlPr>
              <w:rPr>
                <w:rFonts w:ascii="Cambria Math" w:hAnsi="Cambria Math"/>
              </w:rPr>
            </m:ctrlPr>
          </m:sSubPr>
          <m:e>
            <m:r>
              <w:rPr>
                <w:rFonts w:ascii="Cambria Math" w:hAnsi="Cambria Math"/>
              </w:rPr>
              <m:t>E</m:t>
            </m:r>
          </m:e>
          <m:sub>
            <m:r>
              <w:rPr>
                <w:rFonts w:ascii="Cambria Math" w:hAnsi="Cambria Math"/>
              </w:rPr>
              <m:t>RHE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MMO</m:t>
            </m:r>
          </m:sub>
        </m:sSub>
        <m:r>
          <m:rPr>
            <m:sty m:val="p"/>
          </m:rPr>
          <w:rPr>
            <w:rFonts w:ascii="Cambria Math" w:hAnsi="Cambria Math"/>
          </w:rPr>
          <m:t>+0.098</m:t>
        </m:r>
        <m:r>
          <w:rPr>
            <w:rFonts w:ascii="Cambria Math" w:hAnsi="Cambria Math"/>
          </w:rPr>
          <m:t>V</m:t>
        </m:r>
        <m:r>
          <m:rPr>
            <m:sty m:val="p"/>
          </m:rPr>
          <w:rPr>
            <w:rFonts w:ascii="Cambria Math" w:hAnsi="Cambria Math"/>
          </w:rPr>
          <m:t>+0.059*</m:t>
        </m:r>
        <m:r>
          <w:rPr>
            <w:rFonts w:ascii="Cambria Math" w:hAnsi="Cambria Math"/>
          </w:rPr>
          <m:t>pH</m:t>
        </m:r>
      </m:oMath>
      <w:r w:rsidRPr="00F83317">
        <w:t>)</w:t>
      </w:r>
      <w:r w:rsidRPr="00B75509">
        <w:t>.</w:t>
      </w:r>
      <w:r w:rsidR="00B248EE" w:rsidRPr="00B75509">
        <w:t xml:space="preserve"> </w:t>
      </w:r>
      <w:r w:rsidRPr="00B75509">
        <w:t>The slurry for was prepared</w:t>
      </w:r>
      <w:r>
        <w:t xml:space="preserve"> by</w:t>
      </w:r>
      <w:r w:rsidRPr="00B75509">
        <w:t xml:space="preserve"> modifying GCE by dispersing 1 mg of electrocatalyst </w:t>
      </w:r>
      <w:r>
        <w:t>(</w:t>
      </w:r>
      <w:r w:rsidRPr="00B75509">
        <w:t>Fe-SBA-15</w:t>
      </w:r>
      <w:r>
        <w:t xml:space="preserve">-T) </w:t>
      </w:r>
      <w:r w:rsidRPr="00B75509">
        <w:t xml:space="preserve">in 60 </w:t>
      </w:r>
      <w:r w:rsidRPr="00894CFD">
        <w:rPr>
          <w:rFonts w:ascii="Symbol" w:hAnsi="Symbol"/>
        </w:rPr>
        <w:t></w:t>
      </w:r>
      <w:r w:rsidRPr="00B75509">
        <w:t>L</w:t>
      </w:r>
      <w:r>
        <w:t xml:space="preserve"> (catalyst loading : </w:t>
      </w:r>
      <w:r w:rsidRPr="00F0352F">
        <w:t>0.285 mg</w:t>
      </w:r>
      <w:r>
        <w:rPr>
          <w:rFonts w:ascii="Calibri" w:hAnsi="Calibri" w:cs="Calibri"/>
          <w:color w:val="000000"/>
        </w:rPr>
        <w:t xml:space="preserve"> cm</w:t>
      </w:r>
      <w:r w:rsidRPr="00AB0FE4">
        <w:rPr>
          <w:rFonts w:ascii="Calibri" w:hAnsi="Calibri" w:cs="Calibri"/>
          <w:color w:val="000000"/>
          <w:vertAlign w:val="superscript"/>
        </w:rPr>
        <w:t>-2</w:t>
      </w:r>
      <w:r>
        <w:t>)</w:t>
      </w:r>
      <w:r w:rsidRPr="00B75509">
        <w:t xml:space="preserve"> of ethanol containing a trace amount of 5% Nafion which was ultrasonically dispersed for ~ 30 min to obtain a homogenous ink. After pre</w:t>
      </w:r>
      <w:r>
        <w:t>-</w:t>
      </w:r>
      <w:r w:rsidRPr="00B75509">
        <w:t>cleaning and mirror polishing the GCE (5 mm diameter, 0.196 cm</w:t>
      </w:r>
      <w:r w:rsidRPr="00F83317">
        <w:rPr>
          <w:vertAlign w:val="superscript"/>
        </w:rPr>
        <w:t>2</w:t>
      </w:r>
      <w:r w:rsidRPr="00B75509">
        <w:t xml:space="preserve"> geometric area) with 0.05 </w:t>
      </w:r>
      <w:r w:rsidRPr="00F83317">
        <w:rPr>
          <w:rFonts w:ascii="Symbol" w:hAnsi="Symbol"/>
        </w:rPr>
        <w:t></w:t>
      </w:r>
      <w:r>
        <w:t>m alumina solution</w:t>
      </w:r>
      <w:r w:rsidRPr="00B75509">
        <w:t xml:space="preserve"> </w:t>
      </w:r>
      <w:r>
        <w:t xml:space="preserve">the catalyst, </w:t>
      </w:r>
      <w:r w:rsidRPr="00B75509">
        <w:t xml:space="preserve">a desired quantity (4 </w:t>
      </w:r>
      <w:r w:rsidRPr="00F83317">
        <w:rPr>
          <w:rFonts w:ascii="Symbol" w:hAnsi="Symbol"/>
        </w:rPr>
        <w:t></w:t>
      </w:r>
      <w:r w:rsidRPr="00B75509">
        <w:t>L) of the prepared ink was carefully drop casted on the surface of GCE. The electrolyte was purged with high-purity oxygen (O</w:t>
      </w:r>
      <w:r w:rsidRPr="008D0D6F">
        <w:rPr>
          <w:vertAlign w:val="subscript"/>
        </w:rPr>
        <w:t>2</w:t>
      </w:r>
      <w:r w:rsidRPr="00B75509">
        <w:t>) and nitrogen (N</w:t>
      </w:r>
      <w:r w:rsidRPr="008D0D6F">
        <w:rPr>
          <w:vertAlign w:val="subscript"/>
        </w:rPr>
        <w:t>2</w:t>
      </w:r>
      <w:r w:rsidRPr="00B75509">
        <w:t>) gases prior to the electrochemical studies of ORR. O</w:t>
      </w:r>
      <w:r w:rsidRPr="008D0D6F">
        <w:rPr>
          <w:vertAlign w:val="subscript"/>
        </w:rPr>
        <w:t>2</w:t>
      </w:r>
      <w:r w:rsidRPr="00B75509">
        <w:t xml:space="preserve"> flow was maintained over the electrolyte during the experiment to ensure the O</w:t>
      </w:r>
      <w:r w:rsidRPr="008D0D6F">
        <w:rPr>
          <w:vertAlign w:val="subscript"/>
        </w:rPr>
        <w:t>2</w:t>
      </w:r>
      <w:r w:rsidRPr="00B75509">
        <w:t xml:space="preserve"> saturation of the electrolyte. Cyclic voltammograms (CVs) and linear sweep voltammetry (LSV) plots were employed to investigate the electrochemical behaviour and ORR kinetics of the prepared electroactive catalyst</w:t>
      </w:r>
      <w:r>
        <w:t>.</w:t>
      </w:r>
    </w:p>
    <w:p w:rsidR="00E80224" w:rsidRDefault="00E80224" w:rsidP="00E80224">
      <w:pPr>
        <w:pStyle w:val="ListParagraph"/>
        <w:spacing w:line="480" w:lineRule="auto"/>
        <w:ind w:left="0" w:firstLine="720"/>
        <w:jc w:val="both"/>
      </w:pPr>
      <w:r w:rsidRPr="00B75509">
        <w:t xml:space="preserve">Rotating disc electrode (RDE) measurements were performed using the RDE system obtained from CH electrochemical workstation (Model 660a) coupled with the potentiostat. CVs were recorded in 0.5 M </w:t>
      </w:r>
      <w:r>
        <w:t>K</w:t>
      </w:r>
      <w:r w:rsidRPr="00E80224">
        <w:t xml:space="preserve"> </w:t>
      </w:r>
      <w:r w:rsidRPr="00B75509">
        <w:t>OH in the presence of N</w:t>
      </w:r>
      <w:r w:rsidRPr="00F83317">
        <w:rPr>
          <w:vertAlign w:val="subscript"/>
        </w:rPr>
        <w:t>2</w:t>
      </w:r>
      <w:r w:rsidRPr="00B75509">
        <w:t xml:space="preserve"> and O</w:t>
      </w:r>
      <w:r w:rsidRPr="00F83317">
        <w:rPr>
          <w:vertAlign w:val="subscript"/>
        </w:rPr>
        <w:t>2</w:t>
      </w:r>
      <w:r w:rsidRPr="00B75509">
        <w:t xml:space="preserve"> environment (potential range: 0.2 to 1.0 V vs RHE) at a scan rate (</w:t>
      </w:r>
      <w:r w:rsidRPr="00F83317">
        <w:rPr>
          <w:rFonts w:ascii="Symbol" w:hAnsi="Symbol"/>
        </w:rPr>
        <w:t></w:t>
      </w:r>
      <w:r w:rsidRPr="00F83317">
        <w:rPr>
          <w:rFonts w:ascii="Symbol" w:hAnsi="Symbol"/>
        </w:rPr>
        <w:t></w:t>
      </w:r>
      <w:r>
        <w:t xml:space="preserve"> of 100 mV</w:t>
      </w:r>
      <w:r w:rsidRPr="00B75509">
        <w:t>s</w:t>
      </w:r>
      <w:r w:rsidRPr="00E314E2">
        <w:rPr>
          <w:rFonts w:ascii="Symbol" w:hAnsi="Symbol"/>
          <w:vertAlign w:val="superscript"/>
        </w:rPr>
        <w:t></w:t>
      </w:r>
      <w:r w:rsidRPr="00F83317">
        <w:rPr>
          <w:vertAlign w:val="superscript"/>
        </w:rPr>
        <w:t>1</w:t>
      </w:r>
      <w:r w:rsidRPr="00B75509">
        <w:t xml:space="preserve">. Similarly, LSV was swept at a </w:t>
      </w:r>
      <w:r w:rsidRPr="00F83317">
        <w:rPr>
          <w:rFonts w:ascii="Symbol" w:hAnsi="Symbol"/>
        </w:rPr>
        <w:t></w:t>
      </w:r>
      <w:r w:rsidRPr="00B75509">
        <w:t xml:space="preserve"> of 5 mVs</w:t>
      </w:r>
      <w:r w:rsidRPr="00E314E2">
        <w:rPr>
          <w:rFonts w:ascii="Symbol" w:hAnsi="Symbol"/>
          <w:vertAlign w:val="superscript"/>
        </w:rPr>
        <w:t></w:t>
      </w:r>
      <w:r w:rsidRPr="00F83317">
        <w:rPr>
          <w:vertAlign w:val="superscript"/>
        </w:rPr>
        <w:t>1</w:t>
      </w:r>
      <w:r w:rsidRPr="00B75509">
        <w:t xml:space="preserve"> at different rotating speeds (</w:t>
      </w:r>
      <w:r w:rsidRPr="00F83317">
        <w:rPr>
          <w:rFonts w:ascii="Symbol" w:hAnsi="Symbol"/>
        </w:rPr>
        <w:t></w:t>
      </w:r>
      <w:r w:rsidRPr="00B75509">
        <w:t>) (100 to 2000 rpm) in O</w:t>
      </w:r>
      <w:r w:rsidRPr="00F83317">
        <w:rPr>
          <w:vertAlign w:val="subscript"/>
        </w:rPr>
        <w:t>2</w:t>
      </w:r>
      <w:r w:rsidRPr="00B75509">
        <w:t xml:space="preserve"> saturated 0.5 M KOH. The methanol tolerance activity of the catalyst was performed at 1600 rpm at a </w:t>
      </w:r>
      <w:r w:rsidRPr="00F83317">
        <w:rPr>
          <w:rFonts w:ascii="Symbol" w:hAnsi="Symbol"/>
        </w:rPr>
        <w:t></w:t>
      </w:r>
      <w:r w:rsidRPr="00B75509">
        <w:t xml:space="preserve"> of 5 mVs</w:t>
      </w:r>
      <w:r w:rsidRPr="00E314E2">
        <w:rPr>
          <w:rFonts w:ascii="Symbol" w:hAnsi="Symbol"/>
          <w:vertAlign w:val="superscript"/>
        </w:rPr>
        <w:t></w:t>
      </w:r>
      <w:r w:rsidRPr="00F83317">
        <w:rPr>
          <w:vertAlign w:val="superscript"/>
        </w:rPr>
        <w:t>1</w:t>
      </w:r>
      <w:r w:rsidRPr="00B75509">
        <w:t xml:space="preserve"> in alkaline medium (0.5 M KOH)</w:t>
      </w:r>
      <w:r>
        <w:t>.</w:t>
      </w:r>
    </w:p>
    <w:p w:rsidR="00343713" w:rsidRPr="00343713" w:rsidRDefault="00343713" w:rsidP="00343713">
      <w:pPr>
        <w:spacing w:line="480" w:lineRule="auto"/>
        <w:ind w:firstLine="360"/>
        <w:rPr>
          <w:rFonts w:asciiTheme="minorHAnsi" w:hAnsiTheme="minorHAnsi" w:cstheme="minorHAnsi"/>
          <w:sz w:val="22"/>
          <w:szCs w:val="22"/>
          <w:vertAlign w:val="superscript"/>
        </w:rPr>
      </w:pPr>
      <w:r w:rsidRPr="00343713">
        <w:rPr>
          <w:rFonts w:asciiTheme="minorHAnsi" w:hAnsiTheme="minorHAnsi" w:cstheme="minorHAnsi"/>
          <w:sz w:val="22"/>
          <w:szCs w:val="22"/>
        </w:rPr>
        <w:lastRenderedPageBreak/>
        <w:t>To gain further insights into the kinetics of ORR, Koutecky–Levich (K-L) plot, a linear relationship between the inverse of kinetic current (j</w:t>
      </w:r>
      <w:r w:rsidRPr="00343713">
        <w:rPr>
          <w:rFonts w:asciiTheme="minorHAnsi" w:hAnsiTheme="minorHAnsi" w:cstheme="minorHAnsi"/>
          <w:sz w:val="22"/>
          <w:szCs w:val="22"/>
          <w:vertAlign w:val="subscript"/>
        </w:rPr>
        <w:t>k</w:t>
      </w:r>
      <w:r w:rsidRPr="00343713">
        <w:rPr>
          <w:rFonts w:asciiTheme="minorHAnsi" w:hAnsiTheme="minorHAnsi" w:cstheme="minorHAnsi"/>
          <w:sz w:val="22"/>
          <w:szCs w:val="22"/>
          <w:vertAlign w:val="superscript"/>
        </w:rPr>
        <w:t>-1</w:t>
      </w:r>
      <w:r w:rsidRPr="00343713">
        <w:rPr>
          <w:rFonts w:asciiTheme="minorHAnsi" w:hAnsiTheme="minorHAnsi" w:cstheme="minorHAnsi"/>
          <w:sz w:val="22"/>
          <w:szCs w:val="22"/>
        </w:rPr>
        <w:t>) vs inverse of square root of rotating rate (ω</w:t>
      </w:r>
      <w:r w:rsidRPr="00343713">
        <w:rPr>
          <w:rFonts w:asciiTheme="minorHAnsi" w:hAnsiTheme="minorHAnsi" w:cstheme="minorHAnsi"/>
          <w:sz w:val="22"/>
          <w:szCs w:val="22"/>
          <w:vertAlign w:val="superscript"/>
        </w:rPr>
        <w:t>-1/2</w:t>
      </w:r>
      <w:r w:rsidRPr="00343713">
        <w:rPr>
          <w:rFonts w:asciiTheme="minorHAnsi" w:hAnsiTheme="minorHAnsi" w:cstheme="minorHAnsi"/>
          <w:sz w:val="22"/>
          <w:szCs w:val="22"/>
        </w:rPr>
        <w:t>) of electrode, were plotted, where the slopes of the parallel lines were used to determine the number of electron transferred per oxygen molecule (n) for ORR. The n value was calculated from the following equation using K-L plot from the equation</w:t>
      </w:r>
    </w:p>
    <w:p w:rsidR="00343713" w:rsidRPr="008A0905" w:rsidRDefault="00426F4E" w:rsidP="00343713">
      <w:pPr>
        <w:pStyle w:val="ListParagraph"/>
        <w:spacing w:line="480" w:lineRule="auto"/>
        <w:jc w:val="both"/>
        <w:rPr>
          <w:sz w:val="24"/>
          <w:szCs w:val="24"/>
        </w:rPr>
      </w:pPr>
      <m:oMathPara>
        <m:oMath>
          <m:f>
            <m:fPr>
              <m:ctrlPr>
                <w:rPr>
                  <w:rFonts w:ascii="Cambria Math" w:hAnsi="Cambria Math"/>
                  <w:sz w:val="24"/>
                  <w:szCs w:val="24"/>
                </w:rPr>
              </m:ctrlPr>
            </m:fPr>
            <m:num>
              <m:r>
                <m:rPr>
                  <m:sty m:val="bi"/>
                </m:rPr>
                <w:rPr>
                  <w:rFonts w:ascii="Cambria Math" w:hAnsi="Cambria Math"/>
                  <w:sz w:val="24"/>
                  <w:szCs w:val="24"/>
                </w:rPr>
                <m:t>1</m:t>
              </m:r>
            </m:num>
            <m:den>
              <m:r>
                <m:rPr>
                  <m:sty m:val="bi"/>
                </m:rPr>
                <w:rPr>
                  <w:rFonts w:ascii="Cambria Math" w:hAnsi="Cambria Math"/>
                  <w:sz w:val="24"/>
                  <w:szCs w:val="24"/>
                </w:rPr>
                <m:t>j</m:t>
              </m:r>
            </m:den>
          </m:f>
          <m:r>
            <m:rPr>
              <m:sty m:val="bi"/>
            </m:rPr>
            <w:rPr>
              <w:rFonts w:ascii="Cambria Math" w:hAnsi="Cambria Math"/>
              <w:sz w:val="24"/>
              <w:szCs w:val="24"/>
            </w:rPr>
            <m:t xml:space="preserve">= </m:t>
          </m:r>
          <m:f>
            <m:fPr>
              <m:ctrlPr>
                <w:rPr>
                  <w:rFonts w:ascii="Cambria Math" w:hAnsi="Cambria Math"/>
                  <w:sz w:val="24"/>
                  <w:szCs w:val="24"/>
                </w:rPr>
              </m:ctrlPr>
            </m:fPr>
            <m:num>
              <m:r>
                <m:rPr>
                  <m:sty m:val="bi"/>
                </m:rPr>
                <w:rPr>
                  <w:rFonts w:ascii="Cambria Math" w:hAnsi="Cambria Math"/>
                  <w:sz w:val="24"/>
                  <w:szCs w:val="24"/>
                </w:rPr>
                <m:t>1</m:t>
              </m:r>
            </m:num>
            <m:den>
              <m:sSub>
                <m:sSubPr>
                  <m:ctrlPr>
                    <w:rPr>
                      <w:rFonts w:ascii="Cambria Math" w:hAnsi="Cambria Math"/>
                      <w:sz w:val="24"/>
                      <w:szCs w:val="24"/>
                    </w:rPr>
                  </m:ctrlPr>
                </m:sSubPr>
                <m:e>
                  <m:r>
                    <m:rPr>
                      <m:sty m:val="bi"/>
                    </m:rPr>
                    <w:rPr>
                      <w:rFonts w:ascii="Cambria Math" w:hAnsi="Cambria Math"/>
                      <w:sz w:val="24"/>
                      <w:szCs w:val="24"/>
                    </w:rPr>
                    <m:t>j</m:t>
                  </m:r>
                </m:e>
                <m:sub>
                  <m:r>
                    <m:rPr>
                      <m:sty m:val="bi"/>
                    </m:rPr>
                    <w:rPr>
                      <w:rFonts w:ascii="Cambria Math" w:hAnsi="Cambria Math"/>
                      <w:sz w:val="24"/>
                      <w:szCs w:val="24"/>
                    </w:rPr>
                    <m:t>k</m:t>
                  </m:r>
                </m:sub>
              </m:sSub>
            </m:den>
          </m:f>
          <m:r>
            <m:rPr>
              <m:sty m:val="bi"/>
            </m:rPr>
            <w:rPr>
              <w:rFonts w:ascii="Cambria Math" w:hAnsi="Cambria Math"/>
              <w:sz w:val="24"/>
              <w:szCs w:val="24"/>
            </w:rPr>
            <m:t xml:space="preserve">+ </m:t>
          </m:r>
          <m:f>
            <m:fPr>
              <m:ctrlPr>
                <w:rPr>
                  <w:rFonts w:ascii="Cambria Math" w:hAnsi="Cambria Math"/>
                  <w:sz w:val="24"/>
                  <w:szCs w:val="24"/>
                </w:rPr>
              </m:ctrlPr>
            </m:fPr>
            <m:num>
              <m:r>
                <m:rPr>
                  <m:sty m:val="bi"/>
                </m:rPr>
                <w:rPr>
                  <w:rFonts w:ascii="Cambria Math" w:hAnsi="Cambria Math"/>
                  <w:sz w:val="24"/>
                  <w:szCs w:val="24"/>
                </w:rPr>
                <m:t>1</m:t>
              </m:r>
            </m:num>
            <m:den>
              <m:sSub>
                <m:sSubPr>
                  <m:ctrlPr>
                    <w:rPr>
                      <w:rFonts w:ascii="Cambria Math" w:hAnsi="Cambria Math"/>
                      <w:sz w:val="24"/>
                      <w:szCs w:val="24"/>
                    </w:rPr>
                  </m:ctrlPr>
                </m:sSubPr>
                <m:e>
                  <m:r>
                    <m:rPr>
                      <m:sty m:val="bi"/>
                    </m:rPr>
                    <w:rPr>
                      <w:rFonts w:ascii="Cambria Math" w:hAnsi="Cambria Math"/>
                      <w:sz w:val="24"/>
                      <w:szCs w:val="24"/>
                    </w:rPr>
                    <m:t>j</m:t>
                  </m:r>
                </m:e>
                <m:sub>
                  <m:r>
                    <m:rPr>
                      <m:sty m:val="bi"/>
                    </m:rPr>
                    <w:rPr>
                      <w:rFonts w:ascii="Cambria Math" w:hAnsi="Cambria Math"/>
                      <w:sz w:val="24"/>
                      <w:szCs w:val="24"/>
                    </w:rPr>
                    <m:t>L</m:t>
                  </m:r>
                </m:sub>
              </m:sSub>
            </m:den>
          </m:f>
          <m:r>
            <m:rPr>
              <m:sty m:val="bi"/>
            </m:rPr>
            <w:rPr>
              <w:rFonts w:ascii="Cambria Math" w:hAnsi="Cambria Math"/>
              <w:sz w:val="24"/>
              <w:szCs w:val="24"/>
            </w:rPr>
            <m:t xml:space="preserve">= </m:t>
          </m:r>
          <m:f>
            <m:fPr>
              <m:ctrlPr>
                <w:rPr>
                  <w:rFonts w:ascii="Cambria Math" w:hAnsi="Cambria Math"/>
                  <w:sz w:val="24"/>
                  <w:szCs w:val="24"/>
                </w:rPr>
              </m:ctrlPr>
            </m:fPr>
            <m:num>
              <m:r>
                <m:rPr>
                  <m:sty m:val="bi"/>
                </m:rPr>
                <w:rPr>
                  <w:rFonts w:ascii="Cambria Math" w:hAnsi="Cambria Math"/>
                  <w:sz w:val="24"/>
                  <w:szCs w:val="24"/>
                </w:rPr>
                <m:t>1</m:t>
              </m:r>
            </m:num>
            <m:den>
              <m:r>
                <m:rPr>
                  <m:sty m:val="bi"/>
                </m:rPr>
                <w:rPr>
                  <w:rFonts w:ascii="Cambria Math" w:hAnsi="Cambria Math"/>
                  <w:sz w:val="24"/>
                  <w:szCs w:val="24"/>
                </w:rPr>
                <m:t>B</m:t>
              </m:r>
            </m:den>
          </m:f>
          <m:r>
            <m:rPr>
              <m:sty m:val="bi"/>
            </m:rPr>
            <w:rPr>
              <w:rFonts w:ascii="Cambria Math" w:hAnsi="Cambria Math"/>
              <w:sz w:val="24"/>
              <w:szCs w:val="24"/>
            </w:rPr>
            <m:t xml:space="preserve"> </m:t>
          </m:r>
          <m:sSup>
            <m:sSupPr>
              <m:ctrlPr>
                <w:rPr>
                  <w:rFonts w:ascii="Cambria Math" w:hAnsi="Cambria Math"/>
                  <w:sz w:val="24"/>
                  <w:szCs w:val="24"/>
                </w:rPr>
              </m:ctrlPr>
            </m:sSupPr>
            <m:e>
              <m:r>
                <m:rPr>
                  <m:sty m:val="bi"/>
                </m:rPr>
                <w:rPr>
                  <w:rFonts w:ascii="Cambria Math" w:hAnsi="Cambria Math"/>
                  <w:sz w:val="24"/>
                  <w:szCs w:val="24"/>
                </w:rPr>
                <m:t>ω</m:t>
              </m:r>
            </m:e>
            <m:sup>
              <m:r>
                <m:rPr>
                  <m:sty m:val="bi"/>
                </m:rPr>
                <w:rPr>
                  <w:rFonts w:ascii="Cambria Math" w:hAnsi="Cambria Math"/>
                  <w:sz w:val="24"/>
                  <w:szCs w:val="24"/>
                </w:rPr>
                <m:t>-1/2</m:t>
              </m:r>
            </m:sup>
          </m:sSup>
          <m:r>
            <m:rPr>
              <m:sty m:val="bi"/>
            </m:rPr>
            <w:rPr>
              <w:rFonts w:ascii="Cambria Math" w:hAnsi="Cambria Math"/>
              <w:sz w:val="24"/>
              <w:szCs w:val="24"/>
            </w:rPr>
            <m:t xml:space="preserve">+ </m:t>
          </m:r>
          <m:f>
            <m:fPr>
              <m:ctrlPr>
                <w:rPr>
                  <w:rFonts w:ascii="Cambria Math" w:hAnsi="Cambria Math"/>
                  <w:sz w:val="24"/>
                  <w:szCs w:val="24"/>
                </w:rPr>
              </m:ctrlPr>
            </m:fPr>
            <m:num>
              <m:r>
                <m:rPr>
                  <m:sty m:val="bi"/>
                </m:rPr>
                <w:rPr>
                  <w:rFonts w:ascii="Cambria Math" w:hAnsi="Cambria Math"/>
                  <w:sz w:val="24"/>
                  <w:szCs w:val="24"/>
                </w:rPr>
                <m:t>1</m:t>
              </m:r>
            </m:num>
            <m:den>
              <m:sSub>
                <m:sSubPr>
                  <m:ctrlPr>
                    <w:rPr>
                      <w:rFonts w:ascii="Cambria Math" w:hAnsi="Cambria Math"/>
                      <w:sz w:val="24"/>
                      <w:szCs w:val="24"/>
                    </w:rPr>
                  </m:ctrlPr>
                </m:sSubPr>
                <m:e>
                  <m:r>
                    <m:rPr>
                      <m:sty m:val="bi"/>
                    </m:rPr>
                    <w:rPr>
                      <w:rFonts w:ascii="Cambria Math" w:hAnsi="Cambria Math"/>
                      <w:sz w:val="24"/>
                      <w:szCs w:val="24"/>
                    </w:rPr>
                    <m:t>j</m:t>
                  </m:r>
                </m:e>
                <m:sub>
                  <m:r>
                    <m:rPr>
                      <m:sty m:val="bi"/>
                    </m:rPr>
                    <w:rPr>
                      <w:rFonts w:ascii="Cambria Math" w:hAnsi="Cambria Math"/>
                      <w:sz w:val="24"/>
                      <w:szCs w:val="24"/>
                    </w:rPr>
                    <m:t>k</m:t>
                  </m:r>
                </m:sub>
              </m:sSub>
            </m:den>
          </m:f>
        </m:oMath>
      </m:oMathPara>
    </w:p>
    <w:p w:rsidR="00343713" w:rsidRPr="00343713" w:rsidRDefault="00343713" w:rsidP="00343713">
      <w:pPr>
        <w:spacing w:line="480" w:lineRule="auto"/>
        <w:rPr>
          <w:rFonts w:asciiTheme="minorHAnsi" w:hAnsiTheme="minorHAnsi" w:cstheme="minorHAnsi"/>
          <w:sz w:val="22"/>
          <w:szCs w:val="22"/>
        </w:rPr>
      </w:pPr>
      <w:r w:rsidRPr="00343713">
        <w:rPr>
          <w:rFonts w:asciiTheme="minorHAnsi" w:hAnsiTheme="minorHAnsi" w:cstheme="minorHAnsi"/>
          <w:sz w:val="22"/>
          <w:szCs w:val="22"/>
        </w:rPr>
        <w:t>where, j, j</w:t>
      </w:r>
      <w:r w:rsidRPr="00343713">
        <w:rPr>
          <w:rFonts w:asciiTheme="minorHAnsi" w:hAnsiTheme="minorHAnsi" w:cstheme="minorHAnsi"/>
          <w:sz w:val="22"/>
          <w:szCs w:val="22"/>
          <w:vertAlign w:val="subscript"/>
        </w:rPr>
        <w:t>k</w:t>
      </w:r>
      <w:r w:rsidRPr="00343713">
        <w:rPr>
          <w:rFonts w:asciiTheme="minorHAnsi" w:hAnsiTheme="minorHAnsi" w:cstheme="minorHAnsi"/>
          <w:sz w:val="22"/>
          <w:szCs w:val="22"/>
        </w:rPr>
        <w:t xml:space="preserve"> and j</w:t>
      </w:r>
      <w:r w:rsidRPr="00343713">
        <w:rPr>
          <w:rFonts w:asciiTheme="minorHAnsi" w:hAnsiTheme="minorHAnsi" w:cstheme="minorHAnsi"/>
          <w:sz w:val="22"/>
          <w:szCs w:val="22"/>
          <w:vertAlign w:val="subscript"/>
        </w:rPr>
        <w:t>L</w:t>
      </w:r>
      <w:r w:rsidRPr="00343713">
        <w:rPr>
          <w:rFonts w:asciiTheme="minorHAnsi" w:hAnsiTheme="minorHAnsi" w:cstheme="minorHAnsi"/>
          <w:sz w:val="22"/>
          <w:szCs w:val="22"/>
        </w:rPr>
        <w:t xml:space="preserve"> are the measured, kinetic-controlled, mass-transfer limited current densities, respectively and ω  is the electrode rotating rate. Then, the proportionality constant (B) or the levich slope can be extracted from the following equation, </w:t>
      </w:r>
    </w:p>
    <w:p w:rsidR="00343713" w:rsidRPr="008A0905" w:rsidRDefault="00343713" w:rsidP="00343713">
      <w:pPr>
        <w:pStyle w:val="ListParagraph"/>
        <w:spacing w:line="480" w:lineRule="auto"/>
        <w:jc w:val="both"/>
        <w:rPr>
          <w:sz w:val="24"/>
          <w:szCs w:val="24"/>
        </w:rPr>
      </w:pPr>
      <m:oMathPara>
        <m:oMath>
          <m:r>
            <m:rPr>
              <m:sty m:val="bi"/>
            </m:rPr>
            <w:rPr>
              <w:rFonts w:ascii="Cambria Math" w:hAnsi="Cambria Math"/>
              <w:sz w:val="24"/>
              <w:szCs w:val="24"/>
            </w:rPr>
            <m:t>B=0.62 nF</m:t>
          </m:r>
          <m:sSub>
            <m:sSubPr>
              <m:ctrlPr>
                <w:rPr>
                  <w:rFonts w:ascii="Cambria Math" w:hAnsi="Cambria Math"/>
                  <w:sz w:val="24"/>
                  <w:szCs w:val="24"/>
                </w:rPr>
              </m:ctrlPr>
            </m:sSubPr>
            <m:e>
              <m:r>
                <m:rPr>
                  <m:sty m:val="bi"/>
                </m:rPr>
                <w:rPr>
                  <w:rFonts w:ascii="Cambria Math" w:hAnsi="Cambria Math"/>
                  <w:sz w:val="24"/>
                  <w:szCs w:val="24"/>
                </w:rPr>
                <m:t>C</m:t>
              </m:r>
            </m:e>
            <m:sub>
              <m:r>
                <m:rPr>
                  <m:sty m:val="bi"/>
                </m:rPr>
                <w:rPr>
                  <w:rFonts w:ascii="Cambria Math" w:hAnsi="Cambria Math"/>
                  <w:sz w:val="24"/>
                  <w:szCs w:val="24"/>
                </w:rPr>
                <m:t>o</m:t>
              </m:r>
            </m:sub>
          </m:sSub>
          <m:sSup>
            <m:sSupPr>
              <m:ctrlPr>
                <w:rPr>
                  <w:rFonts w:ascii="Cambria Math" w:hAnsi="Cambria Math"/>
                  <w:sz w:val="24"/>
                  <w:szCs w:val="24"/>
                </w:rPr>
              </m:ctrlPr>
            </m:sSupPr>
            <m:e>
              <m:sSup>
                <m:sSupPr>
                  <m:ctrlPr>
                    <w:rPr>
                      <w:rFonts w:ascii="Cambria Math" w:hAnsi="Cambria Math"/>
                      <w:sz w:val="24"/>
                      <w:szCs w:val="24"/>
                    </w:rPr>
                  </m:ctrlPr>
                </m:sSupPr>
                <m:e>
                  <m:r>
                    <m:rPr>
                      <m:sty m:val="bi"/>
                    </m:rPr>
                    <w:rPr>
                      <w:rFonts w:ascii="Cambria Math" w:hAnsi="Cambria Math"/>
                      <w:sz w:val="24"/>
                      <w:szCs w:val="24"/>
                    </w:rPr>
                    <m:t>D</m:t>
                  </m:r>
                </m:e>
                <m:sup>
                  <m:r>
                    <m:rPr>
                      <m:sty m:val="bi"/>
                    </m:rPr>
                    <w:rPr>
                      <w:rFonts w:ascii="Cambria Math" w:hAnsi="Cambria Math"/>
                      <w:sz w:val="24"/>
                      <w:szCs w:val="24"/>
                    </w:rPr>
                    <m:t>2/3</m:t>
                  </m:r>
                </m:sup>
              </m:sSup>
              <m:r>
                <m:rPr>
                  <m:sty m:val="bi"/>
                </m:rPr>
                <w:rPr>
                  <w:rFonts w:ascii="Cambria Math" w:hAnsi="Cambria Math"/>
                  <w:sz w:val="24"/>
                  <w:szCs w:val="24"/>
                </w:rPr>
                <m:t>v</m:t>
              </m:r>
            </m:e>
            <m:sup>
              <m:r>
                <m:rPr>
                  <m:sty m:val="bi"/>
                </m:rPr>
                <w:rPr>
                  <w:rFonts w:ascii="Cambria Math" w:hAnsi="Cambria Math"/>
                  <w:sz w:val="24"/>
                  <w:szCs w:val="24"/>
                </w:rPr>
                <m:t>-1/6</m:t>
              </m:r>
            </m:sup>
          </m:sSup>
          <m:sSup>
            <m:sSupPr>
              <m:ctrlPr>
                <w:rPr>
                  <w:rFonts w:ascii="Cambria Math" w:hAnsi="Cambria Math"/>
                  <w:sz w:val="24"/>
                  <w:szCs w:val="24"/>
                </w:rPr>
              </m:ctrlPr>
            </m:sSupPr>
            <m:e>
              <m:r>
                <m:rPr>
                  <m:sty m:val="bi"/>
                </m:rPr>
                <w:rPr>
                  <w:rFonts w:ascii="Cambria Math" w:hAnsi="Cambria Math"/>
                  <w:sz w:val="24"/>
                  <w:szCs w:val="24"/>
                </w:rPr>
                <m:t>ω</m:t>
              </m:r>
            </m:e>
            <m:sup>
              <m:r>
                <m:rPr>
                  <m:sty m:val="bi"/>
                </m:rPr>
                <w:rPr>
                  <w:rFonts w:ascii="Cambria Math" w:hAnsi="Cambria Math"/>
                  <w:sz w:val="24"/>
                  <w:szCs w:val="24"/>
                </w:rPr>
                <m:t>1/2</m:t>
              </m:r>
            </m:sup>
          </m:sSup>
        </m:oMath>
      </m:oMathPara>
    </w:p>
    <w:p w:rsidR="00E80224" w:rsidRDefault="00343713" w:rsidP="00343713">
      <w:pPr>
        <w:spacing w:line="480" w:lineRule="auto"/>
      </w:pPr>
      <w:r w:rsidRPr="00343713">
        <w:rPr>
          <w:lang w:val="en-GB"/>
        </w:rPr>
        <w:t>where, n indicates the number of electron transfer per oxygen molecule, F is the Faraday constant (F = 96485 c mol</w:t>
      </w:r>
      <w:r w:rsidRPr="00343713">
        <w:rPr>
          <w:rFonts w:ascii="Symbol" w:hAnsi="Symbol"/>
          <w:vertAlign w:val="superscript"/>
          <w:lang w:val="en-GB"/>
        </w:rPr>
        <w:t></w:t>
      </w:r>
      <w:r w:rsidRPr="00343713">
        <w:rPr>
          <w:vertAlign w:val="superscript"/>
          <w:lang w:val="en-GB"/>
        </w:rPr>
        <w:t>1</w:t>
      </w:r>
      <w:r w:rsidRPr="00343713">
        <w:rPr>
          <w:lang w:val="en-GB"/>
        </w:rPr>
        <w:t>), C</w:t>
      </w:r>
      <w:r w:rsidRPr="00343713">
        <w:rPr>
          <w:vertAlign w:val="subscript"/>
          <w:lang w:val="en-GB"/>
        </w:rPr>
        <w:t>0</w:t>
      </w:r>
      <w:r w:rsidRPr="00343713">
        <w:rPr>
          <w:lang w:val="en-GB"/>
        </w:rPr>
        <w:t xml:space="preserve"> is the oxygen concentration in the electrolyte (C</w:t>
      </w:r>
      <w:r w:rsidRPr="00343713">
        <w:rPr>
          <w:vertAlign w:val="subscript"/>
          <w:lang w:val="en-GB"/>
        </w:rPr>
        <w:t>0</w:t>
      </w:r>
      <w:r w:rsidRPr="00343713">
        <w:rPr>
          <w:lang w:val="en-GB"/>
        </w:rPr>
        <w:t xml:space="preserve"> = 1.20×10</w:t>
      </w:r>
      <w:r w:rsidRPr="00343713">
        <w:rPr>
          <w:rFonts w:ascii="Symbol" w:hAnsi="Symbol"/>
          <w:vertAlign w:val="superscript"/>
          <w:lang w:val="en-GB"/>
        </w:rPr>
        <w:t></w:t>
      </w:r>
      <w:r w:rsidRPr="00343713">
        <w:rPr>
          <w:vertAlign w:val="superscript"/>
          <w:lang w:val="en-GB"/>
        </w:rPr>
        <w:t>6</w:t>
      </w:r>
      <w:r w:rsidRPr="00343713">
        <w:rPr>
          <w:lang w:val="en-GB"/>
        </w:rPr>
        <w:t xml:space="preserve"> mol/m</w:t>
      </w:r>
      <w:r w:rsidRPr="00343713">
        <w:rPr>
          <w:vertAlign w:val="superscript"/>
          <w:lang w:val="en-GB"/>
        </w:rPr>
        <w:t>3</w:t>
      </w:r>
      <w:r w:rsidRPr="00343713">
        <w:rPr>
          <w:lang w:val="en-GB"/>
        </w:rPr>
        <w:t>), D is the diffusion coefficient of the oxygen (D =1.90×10-5 cm</w:t>
      </w:r>
      <w:r w:rsidRPr="00343713">
        <w:rPr>
          <w:vertAlign w:val="superscript"/>
          <w:lang w:val="en-GB"/>
        </w:rPr>
        <w:t>2</w:t>
      </w:r>
      <w:r w:rsidRPr="00343713">
        <w:rPr>
          <w:lang w:val="en-GB"/>
        </w:rPr>
        <w:t xml:space="preserve"> s</w:t>
      </w:r>
      <w:r w:rsidRPr="00343713">
        <w:rPr>
          <w:rFonts w:ascii="Symbol" w:hAnsi="Symbol"/>
          <w:vertAlign w:val="superscript"/>
          <w:lang w:val="en-GB"/>
        </w:rPr>
        <w:t></w:t>
      </w:r>
      <w:r w:rsidRPr="00343713">
        <w:rPr>
          <w:vertAlign w:val="superscript"/>
          <w:lang w:val="en-GB"/>
        </w:rPr>
        <w:t>1</w:t>
      </w:r>
      <w:r w:rsidRPr="00343713">
        <w:rPr>
          <w:lang w:val="en-GB"/>
        </w:rPr>
        <w:t xml:space="preserve">), and </w:t>
      </w:r>
      <m:oMath>
        <m:r>
          <m:rPr>
            <m:sty m:val="bi"/>
          </m:rPr>
          <w:rPr>
            <w:rFonts w:ascii="Cambria Math" w:hAnsi="Cambria Math"/>
            <w:lang w:val="en-GB"/>
          </w:rPr>
          <m:t>v</m:t>
        </m:r>
      </m:oMath>
      <w:r w:rsidRPr="00343713">
        <w:rPr>
          <w:lang w:val="en-GB"/>
        </w:rPr>
        <w:t xml:space="preserve"> is the kinematic velocity (</w:t>
      </w:r>
      <w:r w:rsidRPr="00343713">
        <w:rPr>
          <w:rFonts w:ascii="Symbol" w:hAnsi="Symbol"/>
          <w:lang w:val="en-GB"/>
        </w:rPr>
        <w:t></w:t>
      </w:r>
      <w:r w:rsidRPr="00343713">
        <w:rPr>
          <w:lang w:val="en-GB"/>
        </w:rPr>
        <w:t>= 0.01 cm</w:t>
      </w:r>
      <w:r w:rsidRPr="00343713">
        <w:rPr>
          <w:vertAlign w:val="superscript"/>
          <w:lang w:val="en-GB"/>
        </w:rPr>
        <w:t>2</w:t>
      </w:r>
      <w:r w:rsidRPr="00343713">
        <w:rPr>
          <w:lang w:val="en-GB"/>
        </w:rPr>
        <w:t xml:space="preserve"> s</w:t>
      </w:r>
      <w:r w:rsidRPr="00343713">
        <w:rPr>
          <w:rFonts w:ascii="Symbol" w:hAnsi="Symbol"/>
          <w:vertAlign w:val="superscript"/>
          <w:lang w:val="en-GB"/>
        </w:rPr>
        <w:t></w:t>
      </w:r>
      <w:r w:rsidRPr="00343713">
        <w:rPr>
          <w:vertAlign w:val="superscript"/>
          <w:lang w:val="en-GB"/>
        </w:rPr>
        <w:t>1</w:t>
      </w:r>
      <w:r w:rsidRPr="00343713">
        <w:rPr>
          <w:lang w:val="en-GB"/>
        </w:rPr>
        <w:t>). Thus, n can be deduced from the slope of linear plot of j</w:t>
      </w:r>
      <w:r w:rsidRPr="00343713">
        <w:rPr>
          <w:rFonts w:ascii="Symbol" w:hAnsi="Symbol"/>
          <w:vertAlign w:val="superscript"/>
          <w:lang w:val="en-GB"/>
        </w:rPr>
        <w:t></w:t>
      </w:r>
      <w:r w:rsidRPr="00343713">
        <w:rPr>
          <w:vertAlign w:val="superscript"/>
          <w:lang w:val="en-GB"/>
        </w:rPr>
        <w:t>1</w:t>
      </w:r>
      <w:r w:rsidRPr="00343713">
        <w:rPr>
          <w:lang w:val="en-GB"/>
        </w:rPr>
        <w:t xml:space="preserve"> vs </w:t>
      </w:r>
      <w:r w:rsidRPr="00343713">
        <w:rPr>
          <w:rFonts w:ascii="Symbol" w:hAnsi="Symbol"/>
          <w:lang w:val="en-GB"/>
        </w:rPr>
        <w:t></w:t>
      </w:r>
      <w:r w:rsidRPr="00343713">
        <w:rPr>
          <w:rFonts w:ascii="Symbol" w:hAnsi="Symbol"/>
          <w:vertAlign w:val="superscript"/>
          <w:lang w:val="en-GB"/>
        </w:rPr>
        <w:t></w:t>
      </w:r>
      <w:r w:rsidRPr="00343713">
        <w:rPr>
          <w:vertAlign w:val="superscript"/>
          <w:lang w:val="en-GB"/>
        </w:rPr>
        <w:t>1/2</w:t>
      </w:r>
      <w:r w:rsidRPr="00343713">
        <w:rPr>
          <w:lang w:val="en-GB"/>
        </w:rPr>
        <w:t>.</w:t>
      </w:r>
    </w:p>
    <w:p w:rsidR="00E80224" w:rsidRPr="00435D4B" w:rsidRDefault="00E80224" w:rsidP="009B7448">
      <w:pPr>
        <w:pStyle w:val="ListParagraph"/>
        <w:numPr>
          <w:ilvl w:val="0"/>
          <w:numId w:val="12"/>
        </w:numPr>
        <w:spacing w:line="480" w:lineRule="auto"/>
        <w:ind w:left="284"/>
        <w:jc w:val="both"/>
        <w:rPr>
          <w:b/>
          <w:i/>
          <w:sz w:val="24"/>
          <w:szCs w:val="24"/>
          <w:lang w:val="en-US"/>
        </w:rPr>
      </w:pPr>
      <w:r>
        <w:rPr>
          <w:b/>
          <w:i/>
          <w:sz w:val="24"/>
          <w:szCs w:val="24"/>
          <w:lang w:val="en-US"/>
        </w:rPr>
        <w:t>E</w:t>
      </w:r>
      <w:r w:rsidRPr="00435D4B">
        <w:rPr>
          <w:b/>
          <w:i/>
          <w:sz w:val="24"/>
          <w:szCs w:val="24"/>
          <w:lang w:val="en-US"/>
        </w:rPr>
        <w:t>lectrode fabrication for supercapacitor</w:t>
      </w:r>
    </w:p>
    <w:p w:rsidR="00E80224" w:rsidRDefault="00E80224" w:rsidP="00E80224">
      <w:pPr>
        <w:pStyle w:val="ListParagraph"/>
        <w:spacing w:line="480" w:lineRule="auto"/>
        <w:ind w:left="0"/>
        <w:jc w:val="both"/>
      </w:pPr>
      <w:r w:rsidRPr="00B75509">
        <w:t>The electrochemical measurements for supercapacitance studies were conducted on a CHI 760C electrochemical workstation in a standard three-electrode system where modified nickel mesh, Pt wire and Ag/AgCl serve as working, counter, and reference electrodes, respectively. The active material was prepared with a conducting material (Fe-MFC</w:t>
      </w:r>
      <w:r w:rsidRPr="008D0D6F">
        <w:rPr>
          <w:vertAlign w:val="subscript"/>
        </w:rPr>
        <w:t>60</w:t>
      </w:r>
      <w:r w:rsidRPr="00B75509">
        <w:t xml:space="preserve">), carbon black and the binder polytetrafluoroethylene (PTFE) in the ratio of 85:5:10. The slurry was </w:t>
      </w:r>
      <w:r w:rsidRPr="0069753D">
        <w:t>prepared</w:t>
      </w:r>
      <w:r w:rsidRPr="00B75509">
        <w:t xml:space="preserve"> by blending the active material with carbon black </w:t>
      </w:r>
      <w:r w:rsidRPr="00B75509">
        <w:lastRenderedPageBreak/>
        <w:t>and the binder and then pasted on the Ni mesh and dried at 90 °C for 12 h in vacuum oven. The supercapacitor studies were carried out using 2 M KOH as the supporting electrolyte. All the studies were carried out under atmospheric conditions</w:t>
      </w:r>
      <w:r>
        <w:t>.</w:t>
      </w: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E80224" w:rsidRDefault="00E80224" w:rsidP="00E80224">
      <w:pPr>
        <w:pStyle w:val="TAMainText"/>
      </w:pPr>
    </w:p>
    <w:p w:rsidR="00926D66" w:rsidRDefault="000858EF" w:rsidP="00926D66">
      <w:pPr>
        <w:keepNext/>
        <w:jc w:val="center"/>
      </w:pPr>
      <w:r>
        <w:rPr>
          <w:noProof/>
          <w:lang w:val="en-IN" w:eastAsia="en-IN"/>
        </w:rPr>
        <w:lastRenderedPageBreak/>
        <w:drawing>
          <wp:inline distT="0" distB="0" distL="0" distR="0">
            <wp:extent cx="3933825" cy="6591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6591300"/>
                    </a:xfrm>
                    <a:prstGeom prst="rect">
                      <a:avLst/>
                    </a:prstGeom>
                    <a:noFill/>
                    <a:ln>
                      <a:noFill/>
                    </a:ln>
                  </pic:spPr>
                </pic:pic>
              </a:graphicData>
            </a:graphic>
          </wp:inline>
        </w:drawing>
      </w:r>
    </w:p>
    <w:p w:rsidR="00926D66" w:rsidRPr="00BE6E93" w:rsidRDefault="00926D66" w:rsidP="00926D66">
      <w:pPr>
        <w:keepNext/>
        <w:spacing w:line="360" w:lineRule="auto"/>
      </w:pPr>
      <w:r w:rsidRPr="00BE6E93">
        <w:rPr>
          <w:b/>
        </w:rPr>
        <w:t>Figure S</w:t>
      </w:r>
      <w:r w:rsidRPr="00BE6E93">
        <w:rPr>
          <w:b/>
        </w:rPr>
        <w:fldChar w:fldCharType="begin"/>
      </w:r>
      <w:r w:rsidRPr="00BE6E93">
        <w:rPr>
          <w:b/>
        </w:rPr>
        <w:instrText xml:space="preserve"> SEQ Figure \* ARABIC </w:instrText>
      </w:r>
      <w:r w:rsidRPr="00BE6E93">
        <w:rPr>
          <w:b/>
        </w:rPr>
        <w:fldChar w:fldCharType="separate"/>
      </w:r>
      <w:r w:rsidR="00A064F7">
        <w:rPr>
          <w:b/>
          <w:noProof/>
        </w:rPr>
        <w:t>1</w:t>
      </w:r>
      <w:r w:rsidRPr="00BE6E93">
        <w:rPr>
          <w:b/>
        </w:rPr>
        <w:fldChar w:fldCharType="end"/>
      </w:r>
      <w:r w:rsidRPr="00BE6E93">
        <w:rPr>
          <w:b/>
        </w:rPr>
        <w:t>.</w:t>
      </w:r>
      <w:r w:rsidRPr="00BE6E93">
        <w:t xml:space="preserve">  (A) Low and (B) high angle XRD patterns of (a) Fe-SBA-15-130, (b) Fe-SBA-15-150, and (c) Fe-SBA-15-200.</w:t>
      </w:r>
    </w:p>
    <w:p w:rsidR="00926D66" w:rsidRDefault="00926D66" w:rsidP="00926D66">
      <w:pPr>
        <w:pStyle w:val="Caption"/>
        <w:rPr>
          <w:lang w:val="en-US"/>
        </w:rPr>
      </w:pPr>
    </w:p>
    <w:p w:rsidR="00926D66" w:rsidRDefault="00926D66" w:rsidP="00926D66">
      <w:pPr>
        <w:spacing w:line="480" w:lineRule="auto"/>
        <w:jc w:val="center"/>
      </w:pPr>
      <w:r>
        <w:rPr>
          <w:noProof/>
          <w:lang w:val="en-IN" w:eastAsia="en-IN"/>
        </w:rPr>
        <w:lastRenderedPageBreak/>
        <w:drawing>
          <wp:inline distT="0" distB="0" distL="0" distR="0">
            <wp:extent cx="5068165" cy="7239000"/>
            <wp:effectExtent l="0" t="0" r="0" b="0"/>
            <wp:docPr id="29" name="Picture 29"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009" cy="7244491"/>
                    </a:xfrm>
                    <a:prstGeom prst="rect">
                      <a:avLst/>
                    </a:prstGeom>
                    <a:noFill/>
                    <a:ln>
                      <a:noFill/>
                    </a:ln>
                  </pic:spPr>
                </pic:pic>
              </a:graphicData>
            </a:graphic>
          </wp:inline>
        </w:drawing>
      </w:r>
    </w:p>
    <w:p w:rsidR="00926D66" w:rsidRPr="00ED739C" w:rsidRDefault="00926D66" w:rsidP="00926D66">
      <w:pPr>
        <w:pStyle w:val="Caption"/>
        <w:spacing w:line="480" w:lineRule="auto"/>
        <w:jc w:val="both"/>
        <w:rPr>
          <w:b w:val="0"/>
          <w:sz w:val="24"/>
          <w:szCs w:val="24"/>
          <w:lang w:val="en-US"/>
        </w:rPr>
      </w:pPr>
      <w:r w:rsidRPr="00A93CA3">
        <w:rPr>
          <w:sz w:val="24"/>
          <w:szCs w:val="24"/>
        </w:rPr>
        <w:t xml:space="preserve">Figure </w:t>
      </w:r>
      <w:r>
        <w:rPr>
          <w:sz w:val="24"/>
          <w:szCs w:val="24"/>
        </w:rPr>
        <w:t>S</w:t>
      </w:r>
      <w:r w:rsidRPr="00A93CA3">
        <w:rPr>
          <w:sz w:val="24"/>
          <w:szCs w:val="24"/>
        </w:rPr>
        <w:fldChar w:fldCharType="begin"/>
      </w:r>
      <w:r w:rsidRPr="00A93CA3">
        <w:rPr>
          <w:sz w:val="24"/>
          <w:szCs w:val="24"/>
        </w:rPr>
        <w:instrText xml:space="preserve"> SEQ Figure \* ARABIC </w:instrText>
      </w:r>
      <w:r w:rsidRPr="00A93CA3">
        <w:rPr>
          <w:sz w:val="24"/>
          <w:szCs w:val="24"/>
        </w:rPr>
        <w:fldChar w:fldCharType="separate"/>
      </w:r>
      <w:r w:rsidR="00A064F7">
        <w:rPr>
          <w:noProof/>
          <w:sz w:val="24"/>
          <w:szCs w:val="24"/>
        </w:rPr>
        <w:t>2</w:t>
      </w:r>
      <w:r w:rsidRPr="00A93CA3">
        <w:rPr>
          <w:sz w:val="24"/>
          <w:szCs w:val="24"/>
        </w:rPr>
        <w:fldChar w:fldCharType="end"/>
      </w:r>
      <w:r>
        <w:rPr>
          <w:sz w:val="24"/>
          <w:szCs w:val="24"/>
        </w:rPr>
        <w:t xml:space="preserve">. </w:t>
      </w:r>
      <w:r>
        <w:rPr>
          <w:b w:val="0"/>
          <w:sz w:val="24"/>
          <w:szCs w:val="24"/>
          <w:lang w:val="en-US"/>
        </w:rPr>
        <w:t>(A</w:t>
      </w:r>
      <w:r w:rsidRPr="00ED7E97">
        <w:rPr>
          <w:b w:val="0"/>
          <w:sz w:val="24"/>
          <w:szCs w:val="24"/>
          <w:lang w:val="en-US"/>
        </w:rPr>
        <w:t>) N</w:t>
      </w:r>
      <w:r w:rsidRPr="00ED7E97">
        <w:rPr>
          <w:b w:val="0"/>
          <w:sz w:val="24"/>
          <w:szCs w:val="24"/>
          <w:vertAlign w:val="subscript"/>
          <w:lang w:val="en-US"/>
        </w:rPr>
        <w:t>2</w:t>
      </w:r>
      <w:r w:rsidRPr="00ED7E97">
        <w:rPr>
          <w:b w:val="0"/>
          <w:sz w:val="24"/>
          <w:szCs w:val="24"/>
          <w:lang w:val="en-US"/>
        </w:rPr>
        <w:t xml:space="preserve"> adsorption-desorption is</w:t>
      </w:r>
      <w:r>
        <w:rPr>
          <w:b w:val="0"/>
          <w:sz w:val="24"/>
          <w:szCs w:val="24"/>
          <w:lang w:val="en-US"/>
        </w:rPr>
        <w:t>otherm curves and (B</w:t>
      </w:r>
      <w:r w:rsidRPr="00ED7E97">
        <w:rPr>
          <w:b w:val="0"/>
          <w:sz w:val="24"/>
          <w:szCs w:val="24"/>
          <w:lang w:val="en-US"/>
        </w:rPr>
        <w:t>) its corresponding BJH pore size distribution of (a) Fe-</w:t>
      </w:r>
      <w:r>
        <w:rPr>
          <w:b w:val="0"/>
          <w:sz w:val="24"/>
          <w:szCs w:val="24"/>
          <w:lang w:val="en-US"/>
        </w:rPr>
        <w:t>SBA-15-13</w:t>
      </w:r>
      <w:r w:rsidRPr="00ED7E97">
        <w:rPr>
          <w:b w:val="0"/>
          <w:sz w:val="24"/>
          <w:szCs w:val="24"/>
          <w:lang w:val="en-US"/>
        </w:rPr>
        <w:t>0, (b) Fe-</w:t>
      </w:r>
      <w:r>
        <w:rPr>
          <w:b w:val="0"/>
          <w:sz w:val="24"/>
          <w:szCs w:val="24"/>
          <w:lang w:val="en-US"/>
        </w:rPr>
        <w:t>SBA-15-15</w:t>
      </w:r>
      <w:r w:rsidRPr="00ED7E97">
        <w:rPr>
          <w:b w:val="0"/>
          <w:sz w:val="24"/>
          <w:szCs w:val="24"/>
          <w:lang w:val="en-US"/>
        </w:rPr>
        <w:t>0</w:t>
      </w:r>
      <w:r>
        <w:rPr>
          <w:b w:val="0"/>
          <w:sz w:val="24"/>
          <w:szCs w:val="24"/>
          <w:lang w:val="en-US"/>
        </w:rPr>
        <w:t xml:space="preserve"> and</w:t>
      </w:r>
      <w:r w:rsidRPr="00ED7E97">
        <w:rPr>
          <w:b w:val="0"/>
          <w:sz w:val="24"/>
          <w:szCs w:val="24"/>
          <w:lang w:val="en-US"/>
        </w:rPr>
        <w:t xml:space="preserve"> (c) Fe-</w:t>
      </w:r>
      <w:r>
        <w:rPr>
          <w:b w:val="0"/>
          <w:sz w:val="24"/>
          <w:szCs w:val="24"/>
          <w:lang w:val="en-US"/>
        </w:rPr>
        <w:t>SBA-15-200.</w:t>
      </w:r>
    </w:p>
    <w:p w:rsidR="00926D66" w:rsidRDefault="00926D66" w:rsidP="00926D66"/>
    <w:p w:rsidR="00926D66" w:rsidRDefault="00926D66" w:rsidP="00926D66">
      <w:pPr>
        <w:jc w:val="center"/>
      </w:pPr>
      <w:r>
        <w:rPr>
          <w:noProof/>
          <w:lang w:val="en-IN" w:eastAsia="en-IN"/>
        </w:rPr>
        <w:drawing>
          <wp:inline distT="0" distB="0" distL="0" distR="0">
            <wp:extent cx="4647901" cy="6734175"/>
            <wp:effectExtent l="0" t="0" r="635" b="0"/>
            <wp:docPr id="28" name="Picture 28" descr="Pictur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B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202" cy="6765037"/>
                    </a:xfrm>
                    <a:prstGeom prst="rect">
                      <a:avLst/>
                    </a:prstGeom>
                    <a:noFill/>
                    <a:ln>
                      <a:noFill/>
                    </a:ln>
                  </pic:spPr>
                </pic:pic>
              </a:graphicData>
            </a:graphic>
          </wp:inline>
        </w:drawing>
      </w:r>
    </w:p>
    <w:p w:rsidR="00926D66" w:rsidRPr="00926D66" w:rsidRDefault="00926D66" w:rsidP="00926D66">
      <w:pPr>
        <w:pStyle w:val="RSCI04CaptiontoFigureSchemeChart"/>
        <w:spacing w:line="360" w:lineRule="auto"/>
        <w:rPr>
          <w:sz w:val="24"/>
          <w:szCs w:val="24"/>
        </w:rPr>
      </w:pPr>
      <w:r>
        <w:rPr>
          <w:b/>
          <w:sz w:val="24"/>
          <w:szCs w:val="24"/>
        </w:rPr>
        <w:t>Figure</w:t>
      </w:r>
      <w:r w:rsidRPr="00ED739C">
        <w:rPr>
          <w:b/>
          <w:sz w:val="24"/>
          <w:szCs w:val="24"/>
        </w:rPr>
        <w:t xml:space="preserve"> S3.</w:t>
      </w:r>
      <w:r w:rsidRPr="00ED739C">
        <w:rPr>
          <w:sz w:val="24"/>
          <w:szCs w:val="24"/>
        </w:rPr>
        <w:t xml:space="preserve"> (A) BET surface area report with a value of BET constant and (B) the Rouquerol </w:t>
      </w:r>
      <w:r>
        <w:rPr>
          <w:sz w:val="24"/>
          <w:szCs w:val="24"/>
        </w:rPr>
        <w:t>p</w:t>
      </w:r>
      <w:r w:rsidRPr="00ED739C">
        <w:rPr>
          <w:sz w:val="24"/>
          <w:szCs w:val="24"/>
        </w:rPr>
        <w:t>lot with the pressure ranges used for the BET surface area calculations</w:t>
      </w:r>
      <w:r>
        <w:rPr>
          <w:sz w:val="24"/>
          <w:szCs w:val="24"/>
        </w:rPr>
        <w:t xml:space="preserve"> </w:t>
      </w:r>
      <w:r w:rsidRPr="00ED739C">
        <w:rPr>
          <w:sz w:val="24"/>
          <w:szCs w:val="24"/>
        </w:rPr>
        <w:t>for Fe-MFC</w:t>
      </w:r>
      <w:r w:rsidRPr="00ED739C">
        <w:rPr>
          <w:sz w:val="24"/>
          <w:szCs w:val="24"/>
          <w:vertAlign w:val="subscript"/>
        </w:rPr>
        <w:t>60</w:t>
      </w:r>
      <w:r w:rsidRPr="00ED739C">
        <w:rPr>
          <w:sz w:val="24"/>
          <w:szCs w:val="24"/>
        </w:rPr>
        <w:t xml:space="preserve">-130, </w:t>
      </w:r>
      <w:r>
        <w:rPr>
          <w:sz w:val="24"/>
          <w:szCs w:val="24"/>
        </w:rPr>
        <w:t xml:space="preserve">with its </w:t>
      </w:r>
      <w:r w:rsidRPr="00ED739C">
        <w:rPr>
          <w:sz w:val="24"/>
          <w:szCs w:val="24"/>
        </w:rPr>
        <w:t>calculated Rouquerol plot (inset).</w:t>
      </w:r>
    </w:p>
    <w:p w:rsidR="00926D66" w:rsidRDefault="00926D66" w:rsidP="00926D66">
      <w:pPr>
        <w:jc w:val="center"/>
      </w:pPr>
      <w:r w:rsidRPr="00ED739C">
        <w:rPr>
          <w:noProof/>
          <w:lang w:val="en-IN" w:eastAsia="en-IN"/>
        </w:rPr>
        <w:lastRenderedPageBreak/>
        <w:drawing>
          <wp:inline distT="0" distB="0" distL="0" distR="0">
            <wp:extent cx="4810125" cy="7096125"/>
            <wp:effectExtent l="0" t="0" r="9525" b="9525"/>
            <wp:docPr id="27" name="Picture 27" descr="Pictur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B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7096125"/>
                    </a:xfrm>
                    <a:prstGeom prst="rect">
                      <a:avLst/>
                    </a:prstGeom>
                    <a:noFill/>
                    <a:ln>
                      <a:noFill/>
                    </a:ln>
                  </pic:spPr>
                </pic:pic>
              </a:graphicData>
            </a:graphic>
          </wp:inline>
        </w:drawing>
      </w:r>
    </w:p>
    <w:p w:rsidR="00926D66" w:rsidRDefault="00926D66" w:rsidP="00926D66">
      <w:pPr>
        <w:pStyle w:val="RSCI04CaptiontoFigureSchemeChart"/>
        <w:spacing w:line="360" w:lineRule="auto"/>
        <w:rPr>
          <w:sz w:val="24"/>
          <w:szCs w:val="24"/>
        </w:rPr>
      </w:pPr>
      <w:r w:rsidRPr="006452BE">
        <w:rPr>
          <w:b/>
          <w:sz w:val="24"/>
          <w:szCs w:val="24"/>
        </w:rPr>
        <w:t>Figure S4.</w:t>
      </w:r>
      <w:r w:rsidRPr="00ED739C">
        <w:rPr>
          <w:sz w:val="24"/>
          <w:szCs w:val="24"/>
        </w:rPr>
        <w:t xml:space="preserve"> (A) BET surface area report with a value of BET constant and (B) the Rouquerol Plot with the pressure ranges used for the BET surface area calculations</w:t>
      </w:r>
      <w:r>
        <w:rPr>
          <w:sz w:val="24"/>
          <w:szCs w:val="24"/>
        </w:rPr>
        <w:t xml:space="preserve"> </w:t>
      </w:r>
      <w:r w:rsidRPr="00ED739C">
        <w:rPr>
          <w:sz w:val="24"/>
          <w:szCs w:val="24"/>
        </w:rPr>
        <w:t>for Fe-MFC</w:t>
      </w:r>
      <w:r w:rsidRPr="00ED739C">
        <w:rPr>
          <w:sz w:val="24"/>
          <w:szCs w:val="24"/>
          <w:vertAlign w:val="subscript"/>
        </w:rPr>
        <w:t>60</w:t>
      </w:r>
      <w:r w:rsidRPr="00ED739C">
        <w:rPr>
          <w:sz w:val="24"/>
          <w:szCs w:val="24"/>
        </w:rPr>
        <w:t>-</w:t>
      </w:r>
      <w:r>
        <w:rPr>
          <w:sz w:val="24"/>
          <w:szCs w:val="24"/>
        </w:rPr>
        <w:t>15</w:t>
      </w:r>
      <w:r w:rsidRPr="00ED739C">
        <w:rPr>
          <w:sz w:val="24"/>
          <w:szCs w:val="24"/>
        </w:rPr>
        <w:t xml:space="preserve">0, </w:t>
      </w:r>
      <w:r>
        <w:rPr>
          <w:sz w:val="24"/>
          <w:szCs w:val="24"/>
        </w:rPr>
        <w:t xml:space="preserve">with its </w:t>
      </w:r>
      <w:r w:rsidRPr="00ED739C">
        <w:rPr>
          <w:sz w:val="24"/>
          <w:szCs w:val="24"/>
        </w:rPr>
        <w:t>calculated Rouquerol plot (inset).</w:t>
      </w:r>
    </w:p>
    <w:p w:rsidR="00926D66" w:rsidRDefault="00926D66" w:rsidP="00926D66">
      <w:pPr>
        <w:jc w:val="center"/>
      </w:pPr>
      <w:r w:rsidRPr="00ED739C">
        <w:rPr>
          <w:noProof/>
          <w:lang w:val="en-IN" w:eastAsia="en-IN"/>
        </w:rPr>
        <w:lastRenderedPageBreak/>
        <w:drawing>
          <wp:inline distT="0" distB="0" distL="0" distR="0">
            <wp:extent cx="4897464" cy="7315200"/>
            <wp:effectExtent l="0" t="0" r="0" b="0"/>
            <wp:docPr id="26" name="Picture 26" descr="Pictur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B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0305" cy="7319444"/>
                    </a:xfrm>
                    <a:prstGeom prst="rect">
                      <a:avLst/>
                    </a:prstGeom>
                    <a:noFill/>
                    <a:ln>
                      <a:noFill/>
                    </a:ln>
                  </pic:spPr>
                </pic:pic>
              </a:graphicData>
            </a:graphic>
          </wp:inline>
        </w:drawing>
      </w:r>
    </w:p>
    <w:p w:rsidR="00926D66" w:rsidRDefault="00926D66" w:rsidP="00926D66">
      <w:pPr>
        <w:pStyle w:val="RSCI04CaptiontoFigureSchemeChart"/>
        <w:spacing w:line="360" w:lineRule="auto"/>
        <w:rPr>
          <w:sz w:val="24"/>
          <w:szCs w:val="24"/>
        </w:rPr>
      </w:pPr>
      <w:r w:rsidRPr="00706005">
        <w:rPr>
          <w:b/>
          <w:sz w:val="24"/>
          <w:szCs w:val="24"/>
        </w:rPr>
        <w:t>Figure S5.</w:t>
      </w:r>
      <w:r w:rsidRPr="00ED739C">
        <w:rPr>
          <w:sz w:val="24"/>
          <w:szCs w:val="24"/>
        </w:rPr>
        <w:t xml:space="preserve"> (A) BET surface area report with a value of BET constant and (B) the Rouquerol Plot with the pressure ranges used for the BET surface area calculations</w:t>
      </w:r>
      <w:r>
        <w:rPr>
          <w:sz w:val="24"/>
          <w:szCs w:val="24"/>
        </w:rPr>
        <w:t xml:space="preserve"> </w:t>
      </w:r>
      <w:r w:rsidRPr="00ED739C">
        <w:rPr>
          <w:sz w:val="24"/>
          <w:szCs w:val="24"/>
        </w:rPr>
        <w:t>for Fe-MFC</w:t>
      </w:r>
      <w:r w:rsidRPr="00ED739C">
        <w:rPr>
          <w:sz w:val="24"/>
          <w:szCs w:val="24"/>
          <w:vertAlign w:val="subscript"/>
        </w:rPr>
        <w:t>60</w:t>
      </w:r>
      <w:r w:rsidRPr="00ED739C">
        <w:rPr>
          <w:sz w:val="24"/>
          <w:szCs w:val="24"/>
        </w:rPr>
        <w:t>-</w:t>
      </w:r>
      <w:r>
        <w:rPr>
          <w:sz w:val="24"/>
          <w:szCs w:val="24"/>
        </w:rPr>
        <w:t>20</w:t>
      </w:r>
      <w:r w:rsidRPr="00ED739C">
        <w:rPr>
          <w:sz w:val="24"/>
          <w:szCs w:val="24"/>
        </w:rPr>
        <w:t xml:space="preserve">0, </w:t>
      </w:r>
      <w:r>
        <w:rPr>
          <w:sz w:val="24"/>
          <w:szCs w:val="24"/>
        </w:rPr>
        <w:t xml:space="preserve">with its </w:t>
      </w:r>
      <w:r w:rsidRPr="00ED739C">
        <w:rPr>
          <w:sz w:val="24"/>
          <w:szCs w:val="24"/>
        </w:rPr>
        <w:t>calculated Rouquerol plot (inset).</w:t>
      </w:r>
    </w:p>
    <w:p w:rsidR="00926D66" w:rsidRDefault="00926D66" w:rsidP="00926D66"/>
    <w:p w:rsidR="00926D66" w:rsidRDefault="00CB793D" w:rsidP="00926D66">
      <w:r>
        <w:rPr>
          <w:noProof/>
          <w:lang w:val="en-IN" w:eastAsia="en-IN"/>
        </w:rPr>
        <w:drawing>
          <wp:inline distT="0" distB="0" distL="0" distR="0">
            <wp:extent cx="5943600" cy="4420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20330"/>
                    </a:xfrm>
                    <a:prstGeom prst="rect">
                      <a:avLst/>
                    </a:prstGeom>
                    <a:noFill/>
                    <a:ln>
                      <a:noFill/>
                    </a:ln>
                  </pic:spPr>
                </pic:pic>
              </a:graphicData>
            </a:graphic>
          </wp:inline>
        </w:drawing>
      </w:r>
    </w:p>
    <w:p w:rsidR="00926D66" w:rsidRDefault="00926D66" w:rsidP="00926D66">
      <w:pPr>
        <w:pStyle w:val="Caption"/>
        <w:spacing w:line="480" w:lineRule="auto"/>
        <w:jc w:val="both"/>
        <w:rPr>
          <w:sz w:val="24"/>
          <w:szCs w:val="24"/>
          <w:lang w:val="en-US"/>
        </w:rPr>
      </w:pPr>
      <w:r w:rsidRPr="00A93CA3">
        <w:rPr>
          <w:sz w:val="24"/>
          <w:szCs w:val="24"/>
        </w:rPr>
        <w:t xml:space="preserve">Figure </w:t>
      </w:r>
      <w:r>
        <w:rPr>
          <w:sz w:val="24"/>
          <w:szCs w:val="24"/>
        </w:rPr>
        <w:t xml:space="preserve">S6. </w:t>
      </w:r>
      <w:r w:rsidRPr="003135BA">
        <w:rPr>
          <w:b w:val="0"/>
          <w:sz w:val="24"/>
          <w:szCs w:val="24"/>
          <w:lang w:val="en-US"/>
        </w:rPr>
        <w:t>(A</w:t>
      </w:r>
      <w:r>
        <w:rPr>
          <w:b w:val="0"/>
          <w:sz w:val="24"/>
          <w:szCs w:val="24"/>
          <w:lang w:val="en-US"/>
        </w:rPr>
        <w:t>, C</w:t>
      </w:r>
      <w:r w:rsidRPr="003135BA">
        <w:rPr>
          <w:b w:val="0"/>
          <w:sz w:val="24"/>
          <w:szCs w:val="24"/>
          <w:lang w:val="en-US"/>
        </w:rPr>
        <w:t>) Low and (B</w:t>
      </w:r>
      <w:r>
        <w:rPr>
          <w:b w:val="0"/>
          <w:sz w:val="24"/>
          <w:szCs w:val="24"/>
          <w:lang w:val="en-US"/>
        </w:rPr>
        <w:t>, D</w:t>
      </w:r>
      <w:r w:rsidRPr="003135BA">
        <w:rPr>
          <w:b w:val="0"/>
          <w:sz w:val="24"/>
          <w:szCs w:val="24"/>
          <w:lang w:val="en-US"/>
        </w:rPr>
        <w:t>) high magnification HR-SEM images of Fe-MFC</w:t>
      </w:r>
      <w:r w:rsidRPr="003135BA">
        <w:rPr>
          <w:b w:val="0"/>
          <w:sz w:val="24"/>
          <w:szCs w:val="24"/>
          <w:vertAlign w:val="subscript"/>
          <w:lang w:val="en-US"/>
        </w:rPr>
        <w:t>60</w:t>
      </w:r>
      <w:r w:rsidRPr="003135BA">
        <w:rPr>
          <w:b w:val="0"/>
          <w:sz w:val="24"/>
          <w:szCs w:val="24"/>
          <w:lang w:val="en-US"/>
        </w:rPr>
        <w:t>-</w:t>
      </w:r>
      <w:r>
        <w:rPr>
          <w:b w:val="0"/>
          <w:sz w:val="24"/>
          <w:szCs w:val="24"/>
          <w:lang w:val="en-US"/>
        </w:rPr>
        <w:t>10</w:t>
      </w:r>
      <w:r w:rsidRPr="003135BA">
        <w:rPr>
          <w:b w:val="0"/>
          <w:sz w:val="24"/>
          <w:szCs w:val="24"/>
          <w:lang w:val="en-US"/>
        </w:rPr>
        <w:t xml:space="preserve">0 </w:t>
      </w:r>
      <w:r>
        <w:rPr>
          <w:b w:val="0"/>
          <w:sz w:val="24"/>
          <w:szCs w:val="24"/>
          <w:lang w:val="en-US"/>
        </w:rPr>
        <w:t xml:space="preserve">and </w:t>
      </w:r>
      <w:r w:rsidRPr="003135BA">
        <w:rPr>
          <w:b w:val="0"/>
          <w:sz w:val="24"/>
          <w:szCs w:val="24"/>
          <w:lang w:val="en-US"/>
        </w:rPr>
        <w:t>Fe-MFC</w:t>
      </w:r>
      <w:r w:rsidRPr="003135BA">
        <w:rPr>
          <w:b w:val="0"/>
          <w:sz w:val="24"/>
          <w:szCs w:val="24"/>
          <w:vertAlign w:val="subscript"/>
          <w:lang w:val="en-US"/>
        </w:rPr>
        <w:t>60</w:t>
      </w:r>
      <w:r w:rsidRPr="003135BA">
        <w:rPr>
          <w:b w:val="0"/>
          <w:sz w:val="24"/>
          <w:szCs w:val="24"/>
          <w:lang w:val="en-US"/>
        </w:rPr>
        <w:t>-</w:t>
      </w:r>
      <w:r>
        <w:rPr>
          <w:b w:val="0"/>
          <w:sz w:val="24"/>
          <w:szCs w:val="24"/>
          <w:lang w:val="en-US"/>
        </w:rPr>
        <w:t>130.</w:t>
      </w:r>
      <w:r w:rsidRPr="00A93CA3">
        <w:rPr>
          <w:sz w:val="24"/>
          <w:szCs w:val="24"/>
          <w:lang w:val="en-US"/>
        </w:rPr>
        <w:t xml:space="preserve"> </w:t>
      </w:r>
    </w:p>
    <w:p w:rsidR="00926D66" w:rsidRDefault="00926D66" w:rsidP="00926D66"/>
    <w:p w:rsidR="00926D66" w:rsidRDefault="00926D66" w:rsidP="00926D66">
      <w:r>
        <w:rPr>
          <w:noProof/>
          <w:lang w:val="en-IN" w:eastAsia="en-IN"/>
        </w:rPr>
        <w:lastRenderedPageBreak/>
        <mc:AlternateContent>
          <mc:Choice Requires="wps">
            <w:drawing>
              <wp:anchor distT="0" distB="0" distL="114300" distR="114300" simplePos="0" relativeHeight="251666432" behindDoc="0" locked="0" layoutInCell="1" allowOverlap="1">
                <wp:simplePos x="0" y="0"/>
                <wp:positionH relativeFrom="column">
                  <wp:posOffset>3727450</wp:posOffset>
                </wp:positionH>
                <wp:positionV relativeFrom="paragraph">
                  <wp:posOffset>4691380</wp:posOffset>
                </wp:positionV>
                <wp:extent cx="619125" cy="400050"/>
                <wp:effectExtent l="0" t="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3B" w:rsidRPr="00F24B0F" w:rsidRDefault="00B6143B" w:rsidP="00926D66">
                            <w:pPr>
                              <w:rPr>
                                <w:rFonts w:ascii="Symbol" w:hAnsi="Symbol"/>
                                <w:b/>
                                <w:color w:val="FFFFFF"/>
                                <w:sz w:val="28"/>
                                <w:szCs w:val="28"/>
                                <w:lang w:val="en-AU"/>
                              </w:rPr>
                            </w:pPr>
                            <w:r w:rsidRPr="00F24B0F">
                              <w:rPr>
                                <w:rFonts w:ascii="Symbol" w:hAnsi="Symbol"/>
                                <w:b/>
                                <w:color w:val="FFFFFF"/>
                                <w:sz w:val="28"/>
                                <w:szCs w:val="28"/>
                                <w:lang w:val="en-AU"/>
                              </w:rPr>
                              <w:t></w:t>
                            </w:r>
                            <w:r w:rsidRPr="00F24B0F">
                              <w:rPr>
                                <w:rFonts w:ascii="Symbol" w:hAnsi="Symbol"/>
                                <w:b/>
                                <w:color w:val="FFFFFF"/>
                                <w:sz w:val="28"/>
                                <w:szCs w:val="28"/>
                                <w:lang w:val="en-AU"/>
                              </w:rPr>
                              <w:t></w:t>
                            </w:r>
                            <w:r w:rsidRPr="00F24B0F">
                              <w:rPr>
                                <w:b/>
                                <w:color w:val="FFFFFF"/>
                                <w:sz w:val="28"/>
                                <w:szCs w:val="28"/>
                                <w:lang w:val="en-AU"/>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Text Box 38" o:spid="_x0000_s1026" type="#_x0000_t202" style="position:absolute;left:0;text-align:left;margin-left:293.5pt;margin-top:369.4pt;width:48.7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THtg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" filled="f" stroked="f">
                <v:textbox>
                  <w:txbxContent>
                    <w:p w:rsidR="00B6143B" w:rsidRPr="00F24B0F" w:rsidRDefault="00B6143B" w:rsidP="00926D66">
                      <w:pPr>
                        <w:rPr>
                          <w:rFonts w:ascii="Symbol" w:hAnsi="Symbol"/>
                          <w:b/>
                          <w:color w:val="FFFFFF"/>
                          <w:sz w:val="28"/>
                          <w:szCs w:val="28"/>
                          <w:lang w:val="en-AU"/>
                        </w:rPr>
                      </w:pPr>
                      <w:r w:rsidRPr="00F24B0F">
                        <w:rPr>
                          <w:rFonts w:ascii="Symbol" w:hAnsi="Symbol"/>
                          <w:b/>
                          <w:color w:val="FFFFFF"/>
                          <w:sz w:val="28"/>
                          <w:szCs w:val="28"/>
                          <w:lang w:val="en-AU"/>
                        </w:rPr>
                        <w:t></w:t>
                      </w:r>
                      <w:r w:rsidRPr="00F24B0F">
                        <w:rPr>
                          <w:rFonts w:ascii="Symbol" w:hAnsi="Symbol"/>
                          <w:b/>
                          <w:color w:val="FFFFFF"/>
                          <w:sz w:val="28"/>
                          <w:szCs w:val="28"/>
                          <w:lang w:val="en-AU"/>
                        </w:rPr>
                        <w:t></w:t>
                      </w:r>
                      <w:r w:rsidRPr="00F24B0F">
                        <w:rPr>
                          <w:b/>
                          <w:color w:val="FFFFFF"/>
                          <w:sz w:val="28"/>
                          <w:szCs w:val="28"/>
                          <w:lang w:val="en-AU"/>
                        </w:rPr>
                        <w:t>m</w:t>
                      </w:r>
                    </w:p>
                  </w:txbxContent>
                </v:textbox>
              </v:shape>
            </w:pict>
          </mc:Fallback>
        </mc:AlternateContent>
      </w:r>
      <w:r>
        <w:rPr>
          <w:noProof/>
          <w:lang w:val="en-IN" w:eastAsia="en-IN"/>
        </w:rPr>
        <mc:AlternateContent>
          <mc:Choice Requires="wps">
            <w:drawing>
              <wp:anchor distT="0" distB="0" distL="114300" distR="114300" simplePos="0" relativeHeight="251665408" behindDoc="0" locked="0" layoutInCell="1" allowOverlap="1">
                <wp:simplePos x="0" y="0"/>
                <wp:positionH relativeFrom="column">
                  <wp:posOffset>5129530</wp:posOffset>
                </wp:positionH>
                <wp:positionV relativeFrom="paragraph">
                  <wp:posOffset>2062480</wp:posOffset>
                </wp:positionV>
                <wp:extent cx="600075" cy="3333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3B" w:rsidRPr="00F24B0F" w:rsidRDefault="00B6143B" w:rsidP="00926D66">
                            <w:pPr>
                              <w:rPr>
                                <w:b/>
                                <w:color w:val="FFFFFF"/>
                                <w:sz w:val="28"/>
                                <w:szCs w:val="28"/>
                                <w:lang w:val="en-AU"/>
                              </w:rPr>
                            </w:pPr>
                            <w:r w:rsidRPr="00F24B0F">
                              <w:rPr>
                                <w:b/>
                                <w:color w:val="FFFFFF"/>
                                <w:sz w:val="28"/>
                                <w:szCs w:val="28"/>
                                <w:lang w:val="en-AU"/>
                              </w:rPr>
                              <w:t>2</w:t>
                            </w:r>
                            <w:r w:rsidRPr="00F24B0F">
                              <w:rPr>
                                <w:rFonts w:ascii="Symbol" w:hAnsi="Symbol"/>
                                <w:b/>
                                <w:color w:val="FFFFFF"/>
                                <w:sz w:val="28"/>
                                <w:szCs w:val="28"/>
                                <w:lang w:val="en-AU"/>
                              </w:rPr>
                              <w:t></w:t>
                            </w:r>
                            <w:r w:rsidRPr="00F24B0F">
                              <w:rPr>
                                <w:b/>
                                <w:color w:val="FFFFFF"/>
                                <w:sz w:val="28"/>
                                <w:szCs w:val="28"/>
                                <w:lang w:val="en-AU"/>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id="Text Box 37" o:spid="_x0000_s1027" type="#_x0000_t202" style="position:absolute;left:0;text-align:left;margin-left:403.9pt;margin-top:162.4pt;width:47.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" filled="f" stroked="f">
                <v:textbox>
                  <w:txbxContent>
                    <w:p w:rsidR="00B6143B" w:rsidRPr="00F24B0F" w:rsidRDefault="00B6143B" w:rsidP="00926D66">
                      <w:pPr>
                        <w:rPr>
                          <w:b/>
                          <w:color w:val="FFFFFF"/>
                          <w:sz w:val="28"/>
                          <w:szCs w:val="28"/>
                          <w:lang w:val="en-AU"/>
                        </w:rPr>
                      </w:pPr>
                      <w:r w:rsidRPr="00F24B0F">
                        <w:rPr>
                          <w:b/>
                          <w:color w:val="FFFFFF"/>
                          <w:sz w:val="28"/>
                          <w:szCs w:val="28"/>
                          <w:lang w:val="en-AU"/>
                        </w:rPr>
                        <w:t>2</w:t>
                      </w:r>
                      <w:r w:rsidRPr="00F24B0F">
                        <w:rPr>
                          <w:rFonts w:ascii="Symbol" w:hAnsi="Symbol"/>
                          <w:b/>
                          <w:color w:val="FFFFFF"/>
                          <w:sz w:val="28"/>
                          <w:szCs w:val="28"/>
                          <w:lang w:val="en-AU"/>
                        </w:rPr>
                        <w:t></w:t>
                      </w:r>
                      <w:r w:rsidRPr="00F24B0F">
                        <w:rPr>
                          <w:b/>
                          <w:color w:val="FFFFFF"/>
                          <w:sz w:val="28"/>
                          <w:szCs w:val="28"/>
                          <w:lang w:val="en-AU"/>
                        </w:rPr>
                        <w:t>m</w:t>
                      </w:r>
                    </w:p>
                  </w:txbxContent>
                </v:textbox>
              </v:shape>
            </w:pict>
          </mc:Fallback>
        </mc:AlternateContent>
      </w:r>
      <w:r>
        <w:rPr>
          <w:noProof/>
          <w:lang w:val="en-IN" w:eastAsia="en-IN"/>
        </w:rPr>
        <mc:AlternateContent>
          <mc:Choice Requires="wps">
            <w:drawing>
              <wp:anchor distT="0" distB="0" distL="114300" distR="114300" simplePos="0" relativeHeight="251664384" behindDoc="0" locked="0" layoutInCell="1" allowOverlap="1">
                <wp:simplePos x="0" y="0"/>
                <wp:positionH relativeFrom="column">
                  <wp:posOffset>2043430</wp:posOffset>
                </wp:positionH>
                <wp:positionV relativeFrom="paragraph">
                  <wp:posOffset>2120265</wp:posOffset>
                </wp:positionV>
                <wp:extent cx="800100" cy="295275"/>
                <wp:effectExtent l="0" t="635"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3B" w:rsidRPr="00F24B0F" w:rsidRDefault="00B6143B" w:rsidP="00926D66">
                            <w:pPr>
                              <w:rPr>
                                <w:b/>
                                <w:color w:val="FFFFFF"/>
                                <w:sz w:val="28"/>
                                <w:szCs w:val="28"/>
                                <w:lang w:val="en-AU"/>
                              </w:rPr>
                            </w:pPr>
                            <w:r w:rsidRPr="00F24B0F">
                              <w:rPr>
                                <w:b/>
                                <w:color w:val="FFFFFF"/>
                                <w:sz w:val="28"/>
                                <w:szCs w:val="28"/>
                                <w:lang w:val="en-AU"/>
                              </w:rPr>
                              <w:t xml:space="preserve">2 </w:t>
                            </w:r>
                            <w:r w:rsidRPr="00F24B0F">
                              <w:rPr>
                                <w:rFonts w:ascii="Symbol" w:hAnsi="Symbol"/>
                                <w:b/>
                                <w:color w:val="FFFFFF"/>
                                <w:sz w:val="28"/>
                                <w:szCs w:val="28"/>
                                <w:lang w:val="en-AU"/>
                              </w:rPr>
                              <w:t></w:t>
                            </w:r>
                            <w:r w:rsidRPr="00F24B0F">
                              <w:rPr>
                                <w:b/>
                                <w:color w:val="FFFFFF"/>
                                <w:sz w:val="28"/>
                                <w:szCs w:val="28"/>
                                <w:lang w:val="en-AU"/>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 id="Text Box 36" o:spid="_x0000_s1028" type="#_x0000_t202" style="position:absolute;left:0;text-align:left;margin-left:160.9pt;margin-top:166.95pt;width:6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" filled="f" fillcolor="red" stroked="f">
                <v:textbox>
                  <w:txbxContent>
                    <w:p w:rsidR="00B6143B" w:rsidRPr="00F24B0F" w:rsidRDefault="00B6143B" w:rsidP="00926D66">
                      <w:pPr>
                        <w:rPr>
                          <w:b/>
                          <w:color w:val="FFFFFF"/>
                          <w:sz w:val="28"/>
                          <w:szCs w:val="28"/>
                          <w:lang w:val="en-AU"/>
                        </w:rPr>
                      </w:pPr>
                      <w:r w:rsidRPr="00F24B0F">
                        <w:rPr>
                          <w:b/>
                          <w:color w:val="FFFFFF"/>
                          <w:sz w:val="28"/>
                          <w:szCs w:val="28"/>
                          <w:lang w:val="en-AU"/>
                        </w:rPr>
                        <w:t xml:space="preserve">2 </w:t>
                      </w:r>
                      <w:r w:rsidRPr="00F24B0F">
                        <w:rPr>
                          <w:rFonts w:ascii="Symbol" w:hAnsi="Symbol"/>
                          <w:b/>
                          <w:color w:val="FFFFFF"/>
                          <w:sz w:val="28"/>
                          <w:szCs w:val="28"/>
                          <w:lang w:val="en-AU"/>
                        </w:rPr>
                        <w:t></w:t>
                      </w:r>
                      <w:r w:rsidRPr="00F24B0F">
                        <w:rPr>
                          <w:b/>
                          <w:color w:val="FFFFFF"/>
                          <w:sz w:val="28"/>
                          <w:szCs w:val="28"/>
                          <w:lang w:val="en-AU"/>
                        </w:rPr>
                        <w:t>m</w:t>
                      </w:r>
                    </w:p>
                  </w:txbxContent>
                </v:textbox>
              </v:shape>
            </w:pict>
          </mc:Fallback>
        </mc:AlternateContent>
      </w:r>
      <w:r>
        <w:rPr>
          <w:noProof/>
          <w:lang w:val="en-IN" w:eastAsia="en-IN"/>
        </w:rPr>
        <mc:AlternateContent>
          <mc:Choice Requires="wps">
            <w:drawing>
              <wp:anchor distT="0" distB="0" distL="114300" distR="114300" simplePos="0" relativeHeight="251662336" behindDoc="0" locked="0" layoutInCell="1" allowOverlap="1">
                <wp:simplePos x="0" y="0"/>
                <wp:positionH relativeFrom="column">
                  <wp:posOffset>4784725</wp:posOffset>
                </wp:positionH>
                <wp:positionV relativeFrom="paragraph">
                  <wp:posOffset>2406015</wp:posOffset>
                </wp:positionV>
                <wp:extent cx="1019175" cy="81280"/>
                <wp:effectExtent l="7620" t="10160" r="11430" b="133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12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rect w14:anchorId="19C91E28" id="Rectangle 33" o:spid="_x0000_s1026" style="position:absolute;margin-left:376.75pt;margin-top:189.45pt;width:80.25pt;height: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" strokecolor="white"/>
            </w:pict>
          </mc:Fallback>
        </mc:AlternateContent>
      </w:r>
      <w:r>
        <w:rPr>
          <w:noProof/>
          <w:lang w:val="en-IN" w:eastAsia="en-IN"/>
        </w:rPr>
        <mc:AlternateContent>
          <mc:Choice Requires="wps">
            <w:drawing>
              <wp:anchor distT="0" distB="0" distL="114300" distR="114300" simplePos="0" relativeHeight="251663360" behindDoc="0" locked="0" layoutInCell="1" allowOverlap="1">
                <wp:simplePos x="0" y="0"/>
                <wp:positionH relativeFrom="column">
                  <wp:posOffset>3355975</wp:posOffset>
                </wp:positionH>
                <wp:positionV relativeFrom="paragraph">
                  <wp:posOffset>5043805</wp:posOffset>
                </wp:positionV>
                <wp:extent cx="1019175" cy="81280"/>
                <wp:effectExtent l="7620" t="9525" r="11430" b="139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12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rect w14:anchorId="2D23ADBC" id="Rectangle 32" o:spid="_x0000_s1026" style="position:absolute;margin-left:264.25pt;margin-top:397.15pt;width:80.25pt;height: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" strokecolor="white"/>
            </w:pict>
          </mc:Fallback>
        </mc:AlternateContent>
      </w:r>
      <w:r>
        <w:rPr>
          <w:noProof/>
          <w:lang w:val="en-IN" w:eastAsia="en-IN"/>
        </w:rPr>
        <mc:AlternateContent>
          <mc:Choice Requires="wps">
            <w:drawing>
              <wp:anchor distT="0" distB="0" distL="114300" distR="114300" simplePos="0" relativeHeight="251661312" behindDoc="0" locked="0" layoutInCell="1" allowOverlap="1">
                <wp:simplePos x="0" y="0"/>
                <wp:positionH relativeFrom="column">
                  <wp:posOffset>1803400</wp:posOffset>
                </wp:positionH>
                <wp:positionV relativeFrom="paragraph">
                  <wp:posOffset>2415540</wp:posOffset>
                </wp:positionV>
                <wp:extent cx="1019175" cy="81280"/>
                <wp:effectExtent l="7620" t="10160" r="11430" b="1333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12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rect w14:anchorId="5DE026DF" id="Rectangle 31" o:spid="_x0000_s1026" style="position:absolute;margin-left:142pt;margin-top:190.2pt;width:80.25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" strokecolor="white"/>
            </w:pict>
          </mc:Fallback>
        </mc:AlternateContent>
      </w:r>
      <w:r>
        <w:rPr>
          <w:noProof/>
          <w:lang w:val="en-IN" w:eastAsia="en-IN"/>
        </w:rPr>
        <w:drawing>
          <wp:inline distT="0" distB="0" distL="0" distR="0">
            <wp:extent cx="5924550" cy="5219700"/>
            <wp:effectExtent l="0" t="0" r="0" b="0"/>
            <wp:docPr id="23" name="Picture 23" descr="Pictur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ure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5219700"/>
                    </a:xfrm>
                    <a:prstGeom prst="rect">
                      <a:avLst/>
                    </a:prstGeom>
                    <a:noFill/>
                    <a:ln>
                      <a:noFill/>
                    </a:ln>
                  </pic:spPr>
                </pic:pic>
              </a:graphicData>
            </a:graphic>
          </wp:inline>
        </w:drawing>
      </w:r>
    </w:p>
    <w:p w:rsidR="00926D66" w:rsidRDefault="00926D66" w:rsidP="00926D66"/>
    <w:p w:rsidR="00926D66" w:rsidRPr="003135BA" w:rsidRDefault="00926D66" w:rsidP="00926D66">
      <w:pPr>
        <w:pStyle w:val="Caption"/>
        <w:spacing w:line="480" w:lineRule="auto"/>
        <w:jc w:val="both"/>
        <w:rPr>
          <w:color w:val="FF0000"/>
          <w:sz w:val="24"/>
          <w:szCs w:val="24"/>
          <w:lang w:val="en-US"/>
        </w:rPr>
      </w:pPr>
      <w:r w:rsidRPr="00B5655D">
        <w:rPr>
          <w:sz w:val="24"/>
          <w:szCs w:val="24"/>
        </w:rPr>
        <w:t>Figure S</w:t>
      </w:r>
      <w:r>
        <w:rPr>
          <w:sz w:val="24"/>
          <w:szCs w:val="24"/>
        </w:rPr>
        <w:t>7</w:t>
      </w:r>
      <w:r w:rsidRPr="00B5655D">
        <w:rPr>
          <w:sz w:val="24"/>
          <w:szCs w:val="24"/>
        </w:rPr>
        <w:t>.</w:t>
      </w:r>
      <w:r>
        <w:rPr>
          <w:b w:val="0"/>
        </w:rPr>
        <w:t xml:space="preserve"> </w:t>
      </w:r>
      <w:r w:rsidRPr="003135BA">
        <w:rPr>
          <w:b w:val="0"/>
          <w:sz w:val="24"/>
          <w:szCs w:val="24"/>
          <w:lang w:val="en-US"/>
        </w:rPr>
        <w:t xml:space="preserve"> EDS mapping of Fe-MFC</w:t>
      </w:r>
      <w:r w:rsidRPr="003135BA">
        <w:rPr>
          <w:b w:val="0"/>
          <w:sz w:val="24"/>
          <w:szCs w:val="24"/>
          <w:vertAlign w:val="subscript"/>
          <w:lang w:val="en-US"/>
        </w:rPr>
        <w:t>60</w:t>
      </w:r>
      <w:r>
        <w:rPr>
          <w:b w:val="0"/>
          <w:sz w:val="24"/>
          <w:szCs w:val="24"/>
          <w:lang w:val="en-US"/>
        </w:rPr>
        <w:t>-13</w:t>
      </w:r>
      <w:r w:rsidRPr="003135BA">
        <w:rPr>
          <w:b w:val="0"/>
          <w:sz w:val="24"/>
          <w:szCs w:val="24"/>
          <w:lang w:val="en-US"/>
        </w:rPr>
        <w:t>0.</w:t>
      </w:r>
    </w:p>
    <w:p w:rsidR="00926D66" w:rsidRDefault="00926D66" w:rsidP="00926D66"/>
    <w:p w:rsidR="00926D66" w:rsidRPr="00A56E58" w:rsidRDefault="00926D66" w:rsidP="00926D66">
      <w:pPr>
        <w:jc w:val="center"/>
        <w:rPr>
          <w:b/>
        </w:rPr>
      </w:pPr>
      <w:r>
        <w:rPr>
          <w:noProof/>
          <w:lang w:val="en-IN" w:eastAsia="en-IN"/>
        </w:rPr>
        <w:lastRenderedPageBreak/>
        <w:drawing>
          <wp:inline distT="0" distB="0" distL="0" distR="0">
            <wp:extent cx="5055580" cy="6372225"/>
            <wp:effectExtent l="0" t="0" r="0" b="0"/>
            <wp:docPr id="22" name="Picture 2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004" cy="6377802"/>
                    </a:xfrm>
                    <a:prstGeom prst="rect">
                      <a:avLst/>
                    </a:prstGeom>
                    <a:noFill/>
                    <a:ln>
                      <a:noFill/>
                    </a:ln>
                  </pic:spPr>
                </pic:pic>
              </a:graphicData>
            </a:graphic>
          </wp:inline>
        </w:drawing>
      </w:r>
    </w:p>
    <w:p w:rsidR="00926D66" w:rsidRDefault="00926D66" w:rsidP="00926D66"/>
    <w:p w:rsidR="00926D66" w:rsidRPr="00A56E58" w:rsidRDefault="00926D66" w:rsidP="00926D66">
      <w:pPr>
        <w:pStyle w:val="Caption"/>
        <w:spacing w:line="480" w:lineRule="auto"/>
        <w:jc w:val="both"/>
        <w:rPr>
          <w:sz w:val="24"/>
          <w:szCs w:val="24"/>
        </w:rPr>
      </w:pPr>
      <w:r w:rsidRPr="003A41AB">
        <w:rPr>
          <w:sz w:val="24"/>
          <w:szCs w:val="24"/>
        </w:rPr>
        <w:t>Figure S</w:t>
      </w:r>
      <w:r>
        <w:rPr>
          <w:sz w:val="24"/>
          <w:szCs w:val="24"/>
        </w:rPr>
        <w:t xml:space="preserve">8. </w:t>
      </w:r>
      <w:r w:rsidRPr="007A053C">
        <w:rPr>
          <w:b w:val="0"/>
          <w:sz w:val="24"/>
          <w:szCs w:val="24"/>
          <w:lang w:val="en-US"/>
        </w:rPr>
        <w:t xml:space="preserve">(A) Cyclic </w:t>
      </w:r>
      <w:r w:rsidR="009640A3" w:rsidRPr="007A053C">
        <w:rPr>
          <w:b w:val="0"/>
          <w:sz w:val="24"/>
          <w:szCs w:val="24"/>
          <w:lang w:val="en-US"/>
        </w:rPr>
        <w:t>voltammograms</w:t>
      </w:r>
      <w:r w:rsidRPr="007A053C">
        <w:rPr>
          <w:b w:val="0"/>
          <w:sz w:val="24"/>
          <w:szCs w:val="24"/>
          <w:lang w:val="en-US"/>
        </w:rPr>
        <w:t xml:space="preserve"> (CV) curves of Fe-MFC</w:t>
      </w:r>
      <w:r w:rsidRPr="007A053C">
        <w:rPr>
          <w:b w:val="0"/>
          <w:sz w:val="24"/>
          <w:szCs w:val="24"/>
          <w:vertAlign w:val="subscript"/>
          <w:lang w:val="en-US"/>
        </w:rPr>
        <w:t>60</w:t>
      </w:r>
      <w:r w:rsidRPr="007A053C">
        <w:rPr>
          <w:b w:val="0"/>
          <w:sz w:val="24"/>
          <w:szCs w:val="24"/>
          <w:lang w:val="en-US"/>
        </w:rPr>
        <w:t>-</w:t>
      </w:r>
      <w:r>
        <w:rPr>
          <w:b w:val="0"/>
          <w:sz w:val="24"/>
          <w:szCs w:val="24"/>
          <w:lang w:val="en-US"/>
        </w:rPr>
        <w:t>13</w:t>
      </w:r>
      <w:r w:rsidRPr="007A053C">
        <w:rPr>
          <w:b w:val="0"/>
          <w:sz w:val="24"/>
          <w:szCs w:val="24"/>
          <w:lang w:val="en-US"/>
        </w:rPr>
        <w:t>0 in</w:t>
      </w:r>
      <w:r>
        <w:rPr>
          <w:b w:val="0"/>
          <w:sz w:val="24"/>
          <w:szCs w:val="24"/>
          <w:lang w:val="en-US"/>
        </w:rPr>
        <w:t xml:space="preserve"> the</w:t>
      </w:r>
      <w:r w:rsidRPr="007A053C">
        <w:rPr>
          <w:b w:val="0"/>
          <w:sz w:val="24"/>
          <w:szCs w:val="24"/>
          <w:lang w:val="en-US"/>
        </w:rPr>
        <w:t xml:space="preserve"> presence of N</w:t>
      </w:r>
      <w:r w:rsidRPr="007A053C">
        <w:rPr>
          <w:b w:val="0"/>
          <w:sz w:val="24"/>
          <w:szCs w:val="24"/>
          <w:vertAlign w:val="subscript"/>
          <w:lang w:val="en-US"/>
        </w:rPr>
        <w:t>2</w:t>
      </w:r>
      <w:r w:rsidRPr="007A053C">
        <w:rPr>
          <w:b w:val="0"/>
          <w:sz w:val="24"/>
          <w:szCs w:val="24"/>
          <w:lang w:val="en-US"/>
        </w:rPr>
        <w:t>- and O</w:t>
      </w:r>
      <w:r w:rsidRPr="007A053C">
        <w:rPr>
          <w:b w:val="0"/>
          <w:sz w:val="24"/>
          <w:szCs w:val="24"/>
          <w:vertAlign w:val="subscript"/>
          <w:lang w:val="en-US"/>
        </w:rPr>
        <w:t>2</w:t>
      </w:r>
      <w:r w:rsidRPr="007A053C">
        <w:rPr>
          <w:b w:val="0"/>
          <w:sz w:val="24"/>
          <w:szCs w:val="24"/>
          <w:lang w:val="en-US"/>
        </w:rPr>
        <w:t>-saturated 0.5 M KOH electrolyte at scan rate of 10 mVs</w:t>
      </w:r>
      <w:r w:rsidRPr="007A053C">
        <w:rPr>
          <w:b w:val="0"/>
          <w:sz w:val="24"/>
          <w:szCs w:val="24"/>
          <w:vertAlign w:val="superscript"/>
          <w:lang w:val="en-US"/>
        </w:rPr>
        <w:t>-1</w:t>
      </w:r>
      <w:r>
        <w:rPr>
          <w:b w:val="0"/>
          <w:sz w:val="24"/>
          <w:szCs w:val="24"/>
          <w:lang w:val="en-US"/>
        </w:rPr>
        <w:t xml:space="preserve"> and</w:t>
      </w:r>
      <w:r w:rsidRPr="007A053C">
        <w:rPr>
          <w:b w:val="0"/>
          <w:sz w:val="24"/>
          <w:szCs w:val="24"/>
          <w:lang w:val="en-US"/>
        </w:rPr>
        <w:t xml:space="preserve"> (B) LSV curves of Fe-MFC</w:t>
      </w:r>
      <w:r w:rsidRPr="007A053C">
        <w:rPr>
          <w:b w:val="0"/>
          <w:sz w:val="24"/>
          <w:szCs w:val="24"/>
          <w:vertAlign w:val="subscript"/>
          <w:lang w:val="en-US"/>
        </w:rPr>
        <w:t>60</w:t>
      </w:r>
      <w:r>
        <w:rPr>
          <w:b w:val="0"/>
          <w:sz w:val="24"/>
          <w:szCs w:val="24"/>
          <w:lang w:val="en-US"/>
        </w:rPr>
        <w:t>-13</w:t>
      </w:r>
      <w:r w:rsidRPr="007A053C">
        <w:rPr>
          <w:b w:val="0"/>
          <w:sz w:val="24"/>
          <w:szCs w:val="24"/>
          <w:lang w:val="en-US"/>
        </w:rPr>
        <w:t>0 in saturated O</w:t>
      </w:r>
      <w:r w:rsidRPr="007A053C">
        <w:rPr>
          <w:b w:val="0"/>
          <w:sz w:val="24"/>
          <w:szCs w:val="24"/>
          <w:vertAlign w:val="subscript"/>
          <w:lang w:val="en-US"/>
        </w:rPr>
        <w:t>2</w:t>
      </w:r>
      <w:r w:rsidRPr="007A053C">
        <w:rPr>
          <w:b w:val="0"/>
          <w:sz w:val="24"/>
          <w:szCs w:val="24"/>
          <w:lang w:val="en-US"/>
        </w:rPr>
        <w:t xml:space="preserve"> at different rotation speed</w:t>
      </w:r>
      <w:r>
        <w:rPr>
          <w:b w:val="0"/>
          <w:sz w:val="24"/>
          <w:szCs w:val="24"/>
          <w:lang w:val="en-US"/>
        </w:rPr>
        <w:t>s (100 to 2000 rpm) (Scan rate:</w:t>
      </w:r>
      <w:r w:rsidRPr="007A053C">
        <w:rPr>
          <w:b w:val="0"/>
          <w:sz w:val="24"/>
          <w:szCs w:val="24"/>
          <w:lang w:val="en-US"/>
        </w:rPr>
        <w:t>5 mV s</w:t>
      </w:r>
      <w:r w:rsidRPr="007A053C">
        <w:rPr>
          <w:b w:val="0"/>
          <w:sz w:val="24"/>
          <w:szCs w:val="24"/>
          <w:vertAlign w:val="superscript"/>
          <w:lang w:val="en-US"/>
        </w:rPr>
        <w:t>-1</w:t>
      </w:r>
      <w:r w:rsidRPr="007A053C">
        <w:rPr>
          <w:b w:val="0"/>
          <w:sz w:val="24"/>
          <w:szCs w:val="24"/>
          <w:lang w:val="en-US"/>
        </w:rPr>
        <w:t>)</w:t>
      </w:r>
      <w:r>
        <w:rPr>
          <w:b w:val="0"/>
          <w:sz w:val="24"/>
          <w:szCs w:val="24"/>
          <w:lang w:val="en-US"/>
        </w:rPr>
        <w:t>.</w:t>
      </w:r>
    </w:p>
    <w:p w:rsidR="00926D66" w:rsidRDefault="00926D66" w:rsidP="00926D66">
      <w:pPr>
        <w:keepNext/>
        <w:jc w:val="center"/>
      </w:pPr>
      <w:r>
        <w:rPr>
          <w:noProof/>
          <w:lang w:val="en-IN" w:eastAsia="en-IN"/>
        </w:rPr>
        <w:lastRenderedPageBreak/>
        <w:drawing>
          <wp:inline distT="0" distB="0" distL="0" distR="0">
            <wp:extent cx="5324475" cy="3762375"/>
            <wp:effectExtent l="0" t="0" r="0" b="0"/>
            <wp:docPr id="20" name="Picture 20"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3762375"/>
                    </a:xfrm>
                    <a:prstGeom prst="rect">
                      <a:avLst/>
                    </a:prstGeom>
                    <a:noFill/>
                    <a:ln>
                      <a:noFill/>
                    </a:ln>
                  </pic:spPr>
                </pic:pic>
              </a:graphicData>
            </a:graphic>
          </wp:inline>
        </w:drawing>
      </w:r>
    </w:p>
    <w:p w:rsidR="00E80224" w:rsidRDefault="00926D66" w:rsidP="002B1DF2">
      <w:pPr>
        <w:pStyle w:val="Caption"/>
        <w:spacing w:line="480" w:lineRule="auto"/>
        <w:jc w:val="both"/>
        <w:rPr>
          <w:b w:val="0"/>
          <w:sz w:val="24"/>
          <w:szCs w:val="24"/>
          <w:lang w:val="en-US"/>
        </w:rPr>
      </w:pPr>
      <w:r w:rsidRPr="00590DFA">
        <w:rPr>
          <w:sz w:val="24"/>
          <w:szCs w:val="24"/>
        </w:rPr>
        <w:t>Figure S</w:t>
      </w:r>
      <w:r>
        <w:rPr>
          <w:sz w:val="24"/>
          <w:szCs w:val="24"/>
        </w:rPr>
        <w:t xml:space="preserve">9. </w:t>
      </w:r>
      <w:r w:rsidRPr="007A053C">
        <w:rPr>
          <w:b w:val="0"/>
          <w:sz w:val="24"/>
          <w:szCs w:val="24"/>
          <w:lang w:val="en-US"/>
        </w:rPr>
        <w:t>The methanol tolerance of Fe-MFC</w:t>
      </w:r>
      <w:r w:rsidRPr="007A053C">
        <w:rPr>
          <w:b w:val="0"/>
          <w:sz w:val="24"/>
          <w:szCs w:val="24"/>
          <w:vertAlign w:val="subscript"/>
          <w:lang w:val="en-US"/>
        </w:rPr>
        <w:t>60</w:t>
      </w:r>
      <w:r>
        <w:rPr>
          <w:b w:val="0"/>
          <w:sz w:val="24"/>
          <w:szCs w:val="24"/>
          <w:lang w:val="en-US"/>
        </w:rPr>
        <w:t>-13</w:t>
      </w:r>
      <w:r w:rsidRPr="007A053C">
        <w:rPr>
          <w:b w:val="0"/>
          <w:sz w:val="24"/>
          <w:szCs w:val="24"/>
          <w:lang w:val="en-US"/>
        </w:rPr>
        <w:t>0 p</w:t>
      </w:r>
      <w:r>
        <w:rPr>
          <w:b w:val="0"/>
          <w:sz w:val="24"/>
          <w:szCs w:val="24"/>
          <w:lang w:val="en-US"/>
        </w:rPr>
        <w:t>erformed at 1600 rpm (Scan rate</w:t>
      </w:r>
      <w:r w:rsidRPr="007A053C">
        <w:rPr>
          <w:b w:val="0"/>
          <w:sz w:val="24"/>
          <w:szCs w:val="24"/>
          <w:lang w:val="en-US"/>
        </w:rPr>
        <w:t>: 5 mVs</w:t>
      </w:r>
      <w:r w:rsidRPr="007A053C">
        <w:rPr>
          <w:b w:val="0"/>
          <w:sz w:val="24"/>
          <w:szCs w:val="24"/>
          <w:vertAlign w:val="superscript"/>
          <w:lang w:val="en-US"/>
        </w:rPr>
        <w:t>-1</w:t>
      </w:r>
      <w:r w:rsidRPr="007A053C">
        <w:rPr>
          <w:b w:val="0"/>
          <w:sz w:val="24"/>
          <w:szCs w:val="24"/>
          <w:lang w:val="en-US"/>
        </w:rPr>
        <w:t>)</w:t>
      </w:r>
      <w:r w:rsidRPr="007A053C">
        <w:rPr>
          <w:b w:val="0"/>
          <w:sz w:val="24"/>
          <w:szCs w:val="24"/>
          <w:vertAlign w:val="superscript"/>
          <w:lang w:val="en-US"/>
        </w:rPr>
        <w:t xml:space="preserve"> </w:t>
      </w:r>
      <w:r w:rsidRPr="007A053C">
        <w:rPr>
          <w:b w:val="0"/>
          <w:sz w:val="24"/>
          <w:szCs w:val="24"/>
          <w:lang w:val="en-US"/>
        </w:rPr>
        <w:t xml:space="preserve">before and after the addition </w:t>
      </w:r>
      <w:r>
        <w:rPr>
          <w:b w:val="0"/>
          <w:sz w:val="24"/>
          <w:szCs w:val="24"/>
          <w:lang w:val="en-US"/>
        </w:rPr>
        <w:t>of 0.5</w:t>
      </w:r>
      <w:r w:rsidRPr="007A053C">
        <w:rPr>
          <w:b w:val="0"/>
          <w:sz w:val="24"/>
          <w:szCs w:val="24"/>
          <w:lang w:val="en-US"/>
        </w:rPr>
        <w:t xml:space="preserve"> M methanol.</w:t>
      </w:r>
    </w:p>
    <w:p w:rsidR="00CC6528" w:rsidRDefault="007C32D3" w:rsidP="00CE414C">
      <w:pPr>
        <w:spacing w:line="360" w:lineRule="auto"/>
        <w:rPr>
          <w:lang w:eastAsia="ja-JP"/>
        </w:rPr>
      </w:pPr>
      <w:r w:rsidRPr="000858EF">
        <w:rPr>
          <w:b/>
          <w:lang w:eastAsia="ja-JP"/>
        </w:rPr>
        <w:t>Table S1:</w:t>
      </w:r>
      <w:r>
        <w:rPr>
          <w:lang w:eastAsia="ja-JP"/>
        </w:rPr>
        <w:t xml:space="preserve"> </w:t>
      </w:r>
      <w:r w:rsidR="000858EF">
        <w:rPr>
          <w:lang w:eastAsia="ja-JP"/>
        </w:rPr>
        <w:t xml:space="preserve">Comparison of </w:t>
      </w:r>
      <w:r w:rsidR="002B1DF2">
        <w:rPr>
          <w:lang w:eastAsia="ja-JP"/>
        </w:rPr>
        <w:t>other representative</w:t>
      </w:r>
      <w:r w:rsidR="000858EF">
        <w:rPr>
          <w:lang w:eastAsia="ja-JP"/>
        </w:rPr>
        <w:t xml:space="preserve"> carbon </w:t>
      </w:r>
      <w:r w:rsidR="002B1DF2">
        <w:rPr>
          <w:lang w:eastAsia="ja-JP"/>
        </w:rPr>
        <w:t xml:space="preserve">electrode </w:t>
      </w:r>
      <w:r w:rsidR="000858EF">
        <w:rPr>
          <w:lang w:eastAsia="ja-JP"/>
        </w:rPr>
        <w:t xml:space="preserve">materials and their </w:t>
      </w:r>
      <w:r w:rsidR="002B1DF2">
        <w:rPr>
          <w:lang w:eastAsia="ja-JP"/>
        </w:rPr>
        <w:t>supercapaci</w:t>
      </w:r>
      <w:r w:rsidR="00B6143B">
        <w:rPr>
          <w:lang w:eastAsia="ja-JP"/>
        </w:rPr>
        <w:t>tor</w:t>
      </w:r>
      <w:r w:rsidR="002B1DF2">
        <w:rPr>
          <w:lang w:eastAsia="ja-JP"/>
        </w:rPr>
        <w:t xml:space="preserve"> performance.</w:t>
      </w:r>
    </w:p>
    <w:tbl>
      <w:tblPr>
        <w:tblStyle w:val="TableGrid"/>
        <w:tblW w:w="0" w:type="auto"/>
        <w:tblLook w:val="04A0" w:firstRow="1" w:lastRow="0" w:firstColumn="1" w:lastColumn="0" w:noHBand="0" w:noVBand="1"/>
      </w:tblPr>
      <w:tblGrid>
        <w:gridCol w:w="4981"/>
        <w:gridCol w:w="3169"/>
        <w:gridCol w:w="1242"/>
      </w:tblGrid>
      <w:tr w:rsidR="00905AFD" w:rsidRPr="00905AFD" w:rsidTr="00EE70B9">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2B1DF2" w:rsidP="002B1DF2">
            <w:pPr>
              <w:jc w:val="center"/>
              <w:rPr>
                <w:rFonts w:ascii="Times New Roman" w:hAnsi="Times New Roman"/>
                <w:b/>
                <w:szCs w:val="24"/>
              </w:rPr>
            </w:pPr>
            <w:r w:rsidRPr="00905AFD">
              <w:rPr>
                <w:b/>
                <w:szCs w:val="24"/>
              </w:rPr>
              <w:t>Nanostructured carbon materials</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C36C40" w:rsidP="002B1DF2">
            <w:pPr>
              <w:jc w:val="center"/>
              <w:rPr>
                <w:b/>
                <w:szCs w:val="24"/>
              </w:rPr>
            </w:pPr>
            <w:r w:rsidRPr="00905AFD">
              <w:rPr>
                <w:b/>
                <w:szCs w:val="24"/>
              </w:rPr>
              <w:t>Supercapacitor performance</w:t>
            </w:r>
            <w:r w:rsidR="007C32D3" w:rsidRPr="00905AFD">
              <w:rPr>
                <w:b/>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7C32D3" w:rsidP="002B1DF2">
            <w:pPr>
              <w:jc w:val="center"/>
              <w:rPr>
                <w:b/>
                <w:szCs w:val="24"/>
              </w:rPr>
            </w:pPr>
            <w:r w:rsidRPr="00905AFD">
              <w:rPr>
                <w:b/>
                <w:szCs w:val="24"/>
              </w:rPr>
              <w:t>Reference</w:t>
            </w:r>
          </w:p>
        </w:tc>
      </w:tr>
      <w:tr w:rsidR="00905AFD" w:rsidRPr="00905AFD" w:rsidTr="00EE70B9">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7C32D3" w:rsidP="002B1DF2">
            <w:pPr>
              <w:jc w:val="center"/>
              <w:rPr>
                <w:szCs w:val="24"/>
              </w:rPr>
            </w:pPr>
            <w:r w:rsidRPr="00905AFD">
              <w:rPr>
                <w:szCs w:val="24"/>
              </w:rPr>
              <w:t>Carbon nanotube (CNT)</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7C32D3" w:rsidP="002B1DF2">
            <w:pPr>
              <w:jc w:val="center"/>
              <w:rPr>
                <w:szCs w:val="24"/>
              </w:rPr>
            </w:pPr>
            <w:r w:rsidRPr="00905AFD">
              <w:rPr>
                <w:szCs w:val="24"/>
              </w:rPr>
              <w:t xml:space="preserve">16 </w:t>
            </w:r>
            <w:r w:rsidR="00952CD6" w:rsidRPr="00905AFD">
              <w:rPr>
                <w:szCs w:val="24"/>
              </w:rPr>
              <w:t xml:space="preserve">F/g </w:t>
            </w:r>
            <w:r w:rsidRPr="00905AFD">
              <w:rPr>
                <w:szCs w:val="24"/>
              </w:rPr>
              <w:t>at 10 mA g</w:t>
            </w:r>
            <w:r w:rsidRPr="00905AFD">
              <w:rPr>
                <w:szCs w:val="24"/>
                <w:vertAlign w:val="superscript"/>
              </w:rPr>
              <w:t>−1</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B6143B" w:rsidP="00B6143B">
            <w:pPr>
              <w:rPr>
                <w:szCs w:val="24"/>
              </w:rPr>
            </w:pPr>
            <w:r w:rsidRPr="00905AFD">
              <w:rPr>
                <w:szCs w:val="24"/>
              </w:rPr>
              <w:fldChar w:fldCharType="begin"/>
            </w:r>
            <w:r w:rsidRPr="00905AFD">
              <w:rPr>
                <w:szCs w:val="24"/>
              </w:rPr>
              <w:instrText xml:space="preserve"> ADDIN EN.CITE &lt;EndNote&gt;&lt;Cite&gt;&lt;Author&gt;Skunik&lt;/Author&gt;&lt;Year&gt;2008&lt;/Year&gt;&lt;RecNum&gt;95&lt;/RecNum&gt;&lt;DisplayText&gt;[1]&lt;/DisplayText&gt;&lt;record&gt;&lt;rec-number&gt;95&lt;/rec-number&gt;&lt;foreign-keys&gt;&lt;key app="EN" db-id="xvxzvdtxewetx4e9vv05tr085drevfeefsxz" timestamp="1556156881"&gt;95&lt;/key&gt;&lt;/foreign-keys&gt;&lt;ref-type name="Journal Article"&gt;17&lt;/ref-type&gt;&lt;contributors&gt;&lt;authors&gt;&lt;author&gt;Skunik, Magdalena&lt;/author&gt;&lt;author&gt;Chojak, Malgorzata&lt;/author&gt;&lt;author&gt;Rutkowska, Iwona A.&lt;/author&gt;&lt;author&gt;Kulesza, Pawel J.&lt;/author&gt;&lt;/authors&gt;&lt;/contributors&gt;&lt;titles&gt;&lt;title&gt;Improved capacitance characteristics during electrochemical charging of carbon nanotubes modified with polyoxometallate monolayers&lt;/title&gt;&lt;secondary-title&gt;Electrochimica Acta&lt;/secondary-title&gt;&lt;/titles&gt;&lt;periodical&gt;&lt;full-title&gt;Electrochimica Acta&lt;/full-title&gt;&lt;/periodical&gt;&lt;pages&gt;3862-3869&lt;/pages&gt;&lt;volume&gt;53&lt;/volume&gt;&lt;number&gt;11&lt;/number&gt;&lt;keywords&gt;&lt;keyword&gt;Multi-walled carbon nanotubes&lt;/keyword&gt;&lt;keyword&gt;Phosphododecamolybdate adsorbate&lt;/keyword&gt;&lt;keyword&gt;Double-layer capacitance&lt;/keyword&gt;&lt;keyword&gt;Redox pseudocapacitance&lt;/keyword&gt;&lt;keyword&gt;Voltammetry&lt;/keyword&gt;&lt;keyword&gt;Galvanostatic charging and discharging&lt;/keyword&gt;&lt;keyword&gt;AC impedance&lt;/keyword&gt;&lt;/keywords&gt;&lt;dates&gt;&lt;year&gt;2008&lt;/year&gt;&lt;pub-dates&gt;&lt;date&gt;2008/04/20/&lt;/date&gt;&lt;/pub-dates&gt;&lt;/dates&gt;&lt;isbn&gt;0013-4686&lt;/isbn&gt;&lt;urls&gt;&lt;related-urls&gt;&lt;url&gt;http://www.sciencedirect.com/science/article/pii/S001346860701417X&lt;/url&gt;&lt;/related-urls&gt;&lt;/urls&gt;&lt;electronic-resource-num&gt;https://doi.org/10.1016/j.electacta.2007.11.049&lt;/electronic-resource-num&gt;&lt;/record&gt;&lt;/Cite&gt;&lt;/EndNote&gt;</w:instrText>
            </w:r>
            <w:r w:rsidRPr="00905AFD">
              <w:rPr>
                <w:szCs w:val="24"/>
              </w:rPr>
              <w:fldChar w:fldCharType="separate"/>
            </w:r>
            <w:r w:rsidRPr="00905AFD">
              <w:rPr>
                <w:noProof/>
                <w:szCs w:val="24"/>
              </w:rPr>
              <w:t>[1]</w:t>
            </w:r>
            <w:r w:rsidRPr="00905AFD">
              <w:rPr>
                <w:szCs w:val="24"/>
              </w:rPr>
              <w:fldChar w:fldCharType="end"/>
            </w:r>
          </w:p>
        </w:tc>
      </w:tr>
      <w:tr w:rsidR="00905AFD" w:rsidRPr="00905AFD" w:rsidTr="00EE70B9">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7C32D3" w:rsidP="002B1DF2">
            <w:pPr>
              <w:jc w:val="center"/>
              <w:rPr>
                <w:szCs w:val="24"/>
              </w:rPr>
            </w:pPr>
            <w:r w:rsidRPr="00905AFD">
              <w:rPr>
                <w:szCs w:val="24"/>
              </w:rPr>
              <w:t>Modified CNT</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7C32D3" w:rsidP="002B1DF2">
            <w:pPr>
              <w:jc w:val="center"/>
              <w:rPr>
                <w:szCs w:val="24"/>
              </w:rPr>
            </w:pPr>
            <w:r w:rsidRPr="00905AFD">
              <w:rPr>
                <w:szCs w:val="24"/>
              </w:rPr>
              <w:t xml:space="preserve">35 </w:t>
            </w:r>
            <w:r w:rsidR="00952CD6" w:rsidRPr="00905AFD">
              <w:rPr>
                <w:szCs w:val="24"/>
              </w:rPr>
              <w:t xml:space="preserve">F/g </w:t>
            </w:r>
            <w:r w:rsidRPr="00905AFD">
              <w:rPr>
                <w:szCs w:val="24"/>
              </w:rPr>
              <w:t>at 10 mVs</w:t>
            </w:r>
            <w:r w:rsidRPr="00905AFD">
              <w:rPr>
                <w:rFonts w:ascii="Symbol" w:hAnsi="Symbol"/>
                <w:szCs w:val="24"/>
                <w:vertAlign w:val="superscript"/>
              </w:rPr>
              <w:t></w:t>
            </w:r>
            <w:r w:rsidRPr="00905AFD">
              <w:rPr>
                <w:szCs w:val="24"/>
                <w:vertAlign w:val="superscript"/>
              </w:rPr>
              <w:t>1</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B6143B" w:rsidP="00B6143B">
            <w:pPr>
              <w:rPr>
                <w:szCs w:val="24"/>
              </w:rPr>
            </w:pPr>
            <w:r w:rsidRPr="00905AFD">
              <w:rPr>
                <w:szCs w:val="24"/>
              </w:rPr>
              <w:fldChar w:fldCharType="begin"/>
            </w:r>
            <w:r w:rsidRPr="00905AFD">
              <w:rPr>
                <w:szCs w:val="24"/>
              </w:rPr>
              <w:instrText xml:space="preserve"> ADDIN EN.CITE &lt;EndNote&gt;&lt;Cite&gt;&lt;Author&gt;Skunik&lt;/Author&gt;&lt;Year&gt;2008&lt;/Year&gt;&lt;RecNum&gt;95&lt;/RecNum&gt;&lt;DisplayText&gt;[1]&lt;/DisplayText&gt;&lt;record&gt;&lt;rec-number&gt;95&lt;/rec-number&gt;&lt;foreign-keys&gt;&lt;key app="EN" db-id="xvxzvdtxewetx4e9vv05tr085drevfeefsxz" timestamp="1556156881"&gt;95&lt;/key&gt;&lt;/foreign-keys&gt;&lt;ref-type name="Journal Article"&gt;17&lt;/ref-type&gt;&lt;contributors&gt;&lt;authors&gt;&lt;author&gt;Skunik, Magdalena&lt;/author&gt;&lt;author&gt;Chojak, Malgorzata&lt;/author&gt;&lt;author&gt;Rutkowska, Iwona A.&lt;/author&gt;&lt;author&gt;Kulesza, Pawel J.&lt;/author&gt;&lt;/authors&gt;&lt;/contributors&gt;&lt;titles&gt;&lt;title&gt;Improved capacitance characteristics during electrochemical charging of carbon nanotubes modified with polyoxometallate monolayers&lt;/title&gt;&lt;secondary-title&gt;Electrochimica Acta&lt;/secondary-title&gt;&lt;/titles&gt;&lt;periodical&gt;&lt;full-title&gt;Electrochimica Acta&lt;/full-title&gt;&lt;/periodical&gt;&lt;pages&gt;3862-3869&lt;/pages&gt;&lt;volume&gt;53&lt;/volume&gt;&lt;number&gt;11&lt;/number&gt;&lt;keywords&gt;&lt;keyword&gt;Multi-walled carbon nanotubes&lt;/keyword&gt;&lt;keyword&gt;Phosphododecamolybdate adsorbate&lt;/keyword&gt;&lt;keyword&gt;Double-layer capacitance&lt;/keyword&gt;&lt;keyword&gt;Redox pseudocapacitance&lt;/keyword&gt;&lt;keyword&gt;Voltammetry&lt;/keyword&gt;&lt;keyword&gt;Galvanostatic charging and discharging&lt;/keyword&gt;&lt;keyword&gt;AC impedance&lt;/keyword&gt;&lt;/keywords&gt;&lt;dates&gt;&lt;year&gt;2008&lt;/year&gt;&lt;pub-dates&gt;&lt;date&gt;2008/04/20/&lt;/date&gt;&lt;/pub-dates&gt;&lt;/dates&gt;&lt;isbn&gt;0013-4686&lt;/isbn&gt;&lt;urls&gt;&lt;related-urls&gt;&lt;url&gt;http://www.sciencedirect.com/science/article/pii/S001346860701417X&lt;/url&gt;&lt;/related-urls&gt;&lt;/urls&gt;&lt;electronic-resource-num&gt;https://doi.org/10.1016/j.electacta.2007.11.049&lt;/electronic-resource-num&gt;&lt;/record&gt;&lt;/Cite&gt;&lt;/EndNote&gt;</w:instrText>
            </w:r>
            <w:r w:rsidRPr="00905AFD">
              <w:rPr>
                <w:szCs w:val="24"/>
              </w:rPr>
              <w:fldChar w:fldCharType="separate"/>
            </w:r>
            <w:r w:rsidRPr="00905AFD">
              <w:rPr>
                <w:noProof/>
                <w:szCs w:val="24"/>
              </w:rPr>
              <w:t>[1]</w:t>
            </w:r>
            <w:r w:rsidRPr="00905AFD">
              <w:rPr>
                <w:szCs w:val="24"/>
              </w:rPr>
              <w:fldChar w:fldCharType="end"/>
            </w:r>
          </w:p>
        </w:tc>
      </w:tr>
      <w:tr w:rsidR="00905AFD" w:rsidRPr="00905AFD" w:rsidTr="00EE70B9">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7C32D3" w:rsidP="002B1DF2">
            <w:pPr>
              <w:jc w:val="center"/>
              <w:rPr>
                <w:szCs w:val="24"/>
              </w:rPr>
            </w:pPr>
            <w:r w:rsidRPr="00905AFD">
              <w:rPr>
                <w:szCs w:val="24"/>
              </w:rPr>
              <w:t>Multiwalled carbon nanotubes (MWCNTs)</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7C32D3" w:rsidP="002B1DF2">
            <w:pPr>
              <w:jc w:val="center"/>
              <w:rPr>
                <w:szCs w:val="24"/>
              </w:rPr>
            </w:pPr>
            <w:r w:rsidRPr="00905AFD">
              <w:rPr>
                <w:szCs w:val="24"/>
              </w:rPr>
              <w:t xml:space="preserve">85 </w:t>
            </w:r>
            <w:r w:rsidR="00952CD6" w:rsidRPr="00905AFD">
              <w:rPr>
                <w:szCs w:val="24"/>
              </w:rPr>
              <w:t xml:space="preserve">F/g </w:t>
            </w:r>
            <w:r w:rsidRPr="00905AFD">
              <w:rPr>
                <w:szCs w:val="24"/>
              </w:rPr>
              <w:t>at 0.4 A</w:t>
            </w:r>
            <w:r w:rsidR="00CE414C" w:rsidRPr="00905AFD">
              <w:rPr>
                <w:szCs w:val="24"/>
              </w:rPr>
              <w:t>/</w:t>
            </w:r>
            <w:r w:rsidRPr="00905AFD">
              <w:rPr>
                <w:szCs w:val="24"/>
              </w:rPr>
              <w:t>g</w:t>
            </w:r>
          </w:p>
        </w:tc>
        <w:tc>
          <w:tcPr>
            <w:tcW w:w="0" w:type="auto"/>
            <w:tcBorders>
              <w:top w:val="single" w:sz="4" w:space="0" w:color="auto"/>
              <w:left w:val="single" w:sz="4" w:space="0" w:color="auto"/>
              <w:bottom w:val="single" w:sz="4" w:space="0" w:color="auto"/>
              <w:right w:val="single" w:sz="4" w:space="0" w:color="auto"/>
            </w:tcBorders>
            <w:hideMark/>
          </w:tcPr>
          <w:p w:rsidR="007C32D3" w:rsidRPr="00905AFD" w:rsidRDefault="00EE70B9" w:rsidP="00EE70B9">
            <w:pPr>
              <w:rPr>
                <w:szCs w:val="24"/>
              </w:rPr>
            </w:pPr>
            <w:r w:rsidRPr="00905AFD">
              <w:rPr>
                <w:szCs w:val="24"/>
              </w:rPr>
              <w:fldChar w:fldCharType="begin"/>
            </w:r>
            <w:r w:rsidRPr="00905AFD">
              <w:rPr>
                <w:szCs w:val="24"/>
              </w:rPr>
              <w:instrText xml:space="preserve"> ADDIN EN.CITE &lt;EndNote&gt;&lt;Cite&gt;&lt;Author&gt;Aboutalebi&lt;/Author&gt;&lt;Year&gt;2011&lt;/Year&gt;&lt;RecNum&gt;96&lt;/RecNum&gt;&lt;DisplayText&gt;[2]&lt;/DisplayText&gt;&lt;record&gt;&lt;rec-number&gt;96&lt;/rec-number&gt;&lt;foreign-keys&gt;&lt;key app="EN" db-id="xvxzvdtxewetx4e9vv05tr085drevfeefsxz" timestamp="1556157646"&gt;96&lt;/key&gt;&lt;/foreign-keys&gt;&lt;ref-type name="Journal Article"&gt;17&lt;/ref-type&gt;&lt;contributors&gt;&lt;authors&gt;&lt;author&gt;Aboutalebi, Seyed Hamed&lt;/author&gt;&lt;author&gt;Chidembo, Alfred T.&lt;/author&gt;&lt;author&gt;Salari, Maryam&lt;/author&gt;&lt;author&gt;Konstantinov, Konstantin&lt;/author&gt;&lt;author&gt;Wexler, David&lt;/author&gt;&lt;author&gt;Liu, Hua Kun&lt;/author&gt;&lt;author&gt;Dou, Shi Xue&lt;/author&gt;&lt;/authors&gt;&lt;/contributors&gt;&lt;titles&gt;&lt;title&gt;Comparison of GO, GO/MWCNTs composite and MWCNTs as potential electrode materials for supercapacitors&lt;/title&gt;&lt;secondary-title&gt;Energy &amp;amp; Environmental Science&lt;/secondary-title&gt;&lt;/titles&gt;&lt;periodical&gt;&lt;full-title&gt;Energy &amp;amp; Environmental Science&lt;/full-title&gt;&lt;abbr-1&gt;Energ Environ Sci&lt;/abbr-1&gt;&lt;/periodical&gt;&lt;pages&gt;1855-1865&lt;/pages&gt;&lt;volume&gt;4&lt;/volume&gt;&lt;number&gt;5&lt;/number&gt;&lt;dates&gt;&lt;year&gt;2011&lt;/year&gt;&lt;/dates&gt;&lt;publisher&gt;The Royal Society of Chemistry&lt;/publisher&gt;&lt;isbn&gt;1754-5692&lt;/isbn&gt;&lt;work-type&gt;10.1039/C1EE01039E&lt;/work-type&gt;&lt;urls&gt;&lt;related-urls&gt;&lt;url&gt;http://dx.doi.org/10.1039/C1EE01039E&lt;/url&gt;&lt;/related-urls&gt;&lt;/urls&gt;&lt;electronic-resource-num&gt;10.1039/C1EE01039E&lt;/electronic-resource-num&gt;&lt;/record&gt;&lt;/Cite&gt;&lt;/EndNote&gt;</w:instrText>
            </w:r>
            <w:r w:rsidRPr="00905AFD">
              <w:rPr>
                <w:szCs w:val="24"/>
              </w:rPr>
              <w:fldChar w:fldCharType="separate"/>
            </w:r>
            <w:r w:rsidRPr="00905AFD">
              <w:rPr>
                <w:noProof/>
                <w:szCs w:val="24"/>
              </w:rPr>
              <w:t>[2]</w:t>
            </w:r>
            <w:r w:rsidRPr="00905AFD">
              <w:rPr>
                <w:szCs w:val="24"/>
              </w:rPr>
              <w:fldChar w:fldCharType="end"/>
            </w:r>
          </w:p>
        </w:tc>
      </w:tr>
      <w:tr w:rsidR="00905AFD" w:rsidRPr="00905AFD" w:rsidTr="00EE70B9">
        <w:tc>
          <w:tcPr>
            <w:tcW w:w="0" w:type="auto"/>
            <w:tcBorders>
              <w:top w:val="single" w:sz="4" w:space="0" w:color="auto"/>
              <w:left w:val="single" w:sz="4" w:space="0" w:color="auto"/>
              <w:bottom w:val="single" w:sz="4" w:space="0" w:color="auto"/>
              <w:right w:val="single" w:sz="4" w:space="0" w:color="auto"/>
            </w:tcBorders>
          </w:tcPr>
          <w:p w:rsidR="002B1DF2" w:rsidRPr="00905AFD" w:rsidRDefault="002B1DF2" w:rsidP="002B1DF2">
            <w:pPr>
              <w:jc w:val="center"/>
              <w:rPr>
                <w:szCs w:val="24"/>
              </w:rPr>
            </w:pPr>
            <w:r w:rsidRPr="00905AFD">
              <w:rPr>
                <w:szCs w:val="24"/>
              </w:rPr>
              <w:t>Hierarchical porous carbon</w:t>
            </w:r>
          </w:p>
        </w:tc>
        <w:tc>
          <w:tcPr>
            <w:tcW w:w="0" w:type="auto"/>
            <w:tcBorders>
              <w:top w:val="single" w:sz="4" w:space="0" w:color="auto"/>
              <w:left w:val="single" w:sz="4" w:space="0" w:color="auto"/>
              <w:bottom w:val="single" w:sz="4" w:space="0" w:color="auto"/>
              <w:right w:val="single" w:sz="4" w:space="0" w:color="auto"/>
            </w:tcBorders>
          </w:tcPr>
          <w:p w:rsidR="002B1DF2" w:rsidRPr="00905AFD" w:rsidRDefault="002B1DF2" w:rsidP="002B1DF2">
            <w:pPr>
              <w:jc w:val="center"/>
              <w:rPr>
                <w:szCs w:val="24"/>
              </w:rPr>
            </w:pPr>
            <w:r w:rsidRPr="00905AFD">
              <w:rPr>
                <w:szCs w:val="24"/>
              </w:rPr>
              <w:t xml:space="preserve">229 F/g at 1 </w:t>
            </w:r>
            <w:r w:rsidR="00CE414C" w:rsidRPr="00905AFD">
              <w:rPr>
                <w:szCs w:val="24"/>
              </w:rPr>
              <w:t>A/g</w:t>
            </w:r>
          </w:p>
        </w:tc>
        <w:tc>
          <w:tcPr>
            <w:tcW w:w="0" w:type="auto"/>
            <w:tcBorders>
              <w:top w:val="single" w:sz="4" w:space="0" w:color="auto"/>
              <w:left w:val="single" w:sz="4" w:space="0" w:color="auto"/>
              <w:bottom w:val="single" w:sz="4" w:space="0" w:color="auto"/>
              <w:right w:val="single" w:sz="4" w:space="0" w:color="auto"/>
            </w:tcBorders>
          </w:tcPr>
          <w:p w:rsidR="002B1DF2" w:rsidRPr="00905AFD" w:rsidRDefault="00EE70B9" w:rsidP="00EE70B9">
            <w:pPr>
              <w:rPr>
                <w:i/>
                <w:szCs w:val="24"/>
              </w:rPr>
            </w:pPr>
            <w:r w:rsidRPr="00905AFD">
              <w:rPr>
                <w:iCs/>
                <w:szCs w:val="24"/>
              </w:rPr>
              <w:fldChar w:fldCharType="begin"/>
            </w:r>
            <w:r w:rsidRPr="00905AFD">
              <w:rPr>
                <w:iCs/>
                <w:szCs w:val="24"/>
              </w:rPr>
              <w:instrText xml:space="preserve"> ADDIN EN.CITE &lt;EndNote&gt;&lt;Cite&gt;&lt;Author&gt;Cao&lt;/Author&gt;&lt;Year&gt;2018&lt;/Year&gt;&lt;RecNum&gt;97&lt;/RecNum&gt;&lt;DisplayText&gt;[3]&lt;/DisplayText&gt;&lt;record&gt;&lt;rec-number&gt;97&lt;/rec-number&gt;&lt;foreign-keys&gt;&lt;key app="EN" db-id="xvxzvdtxewetx4e9vv05tr085drevfeefsxz" timestamp="1556157763"&gt;97&lt;/key&gt;&lt;/foreign-keys&gt;&lt;ref-type name="Journal Article"&gt;17&lt;/ref-type&gt;&lt;contributors&gt;&lt;authors&gt;&lt;author&gt;Cao, Jinhui&lt;/author&gt;&lt;author&gt;Zhu, Chunyu&lt;/author&gt;&lt;author&gt;Aoki, Yoshitaka&lt;/author&gt;&lt;author&gt;Habazaki, Hiroki&lt;/author&gt;&lt;/authors&gt;&lt;/contributors&gt;&lt;titles&gt;&lt;title&gt;Starch-Derived Hierarchical Porous Carbon with Controlled Porosity for High Performance Supercapacitors&lt;/title&gt;&lt;secondary-title&gt;ACS Sustainable Chemistry &amp;amp; Engineering&lt;/secondary-title&gt;&lt;/titles&gt;&lt;periodical&gt;&lt;full-title&gt;ACS Sustainable Chemistry &amp;amp; Engineering&lt;/full-title&gt;&lt;/periodical&gt;&lt;pages&gt;7292-7303&lt;/pages&gt;&lt;volume&gt;6&lt;/volume&gt;&lt;number&gt;6&lt;/number&gt;&lt;dates&gt;&lt;year&gt;2018&lt;/year&gt;&lt;pub-dates&gt;&lt;date&gt;2018/06/04&lt;/date&gt;&lt;/pub-dates&gt;&lt;/dates&gt;&lt;publisher&gt;American Chemical Society&lt;/publisher&gt;&lt;urls&gt;&lt;related-urls&gt;&lt;url&gt;https://doi.org/10.1021/acssuschemeng.7b04459&lt;/url&gt;&lt;/related-urls&gt;&lt;/urls&gt;&lt;electronic-resource-num&gt;10.1021/acssuschemeng.7b04459&lt;/electronic-resource-num&gt;&lt;/record&gt;&lt;/Cite&gt;&lt;/EndNote&gt;</w:instrText>
            </w:r>
            <w:r w:rsidRPr="00905AFD">
              <w:rPr>
                <w:iCs/>
                <w:szCs w:val="24"/>
              </w:rPr>
              <w:fldChar w:fldCharType="separate"/>
            </w:r>
            <w:r w:rsidRPr="00905AFD">
              <w:rPr>
                <w:iCs/>
                <w:noProof/>
                <w:szCs w:val="24"/>
              </w:rPr>
              <w:t>[3]</w:t>
            </w:r>
            <w:r w:rsidRPr="00905AFD">
              <w:rPr>
                <w:iCs/>
                <w:szCs w:val="24"/>
              </w:rPr>
              <w:fldChar w:fldCharType="end"/>
            </w:r>
          </w:p>
        </w:tc>
      </w:tr>
      <w:tr w:rsidR="00905AFD" w:rsidRPr="00905AFD" w:rsidTr="00EE70B9">
        <w:tc>
          <w:tcPr>
            <w:tcW w:w="0" w:type="auto"/>
            <w:tcBorders>
              <w:top w:val="single" w:sz="4" w:space="0" w:color="auto"/>
              <w:left w:val="single" w:sz="4" w:space="0" w:color="auto"/>
              <w:bottom w:val="single" w:sz="4" w:space="0" w:color="auto"/>
              <w:right w:val="single" w:sz="4" w:space="0" w:color="auto"/>
            </w:tcBorders>
          </w:tcPr>
          <w:p w:rsidR="002B1DF2" w:rsidRPr="00905AFD" w:rsidRDefault="002B1DF2" w:rsidP="002B1DF2">
            <w:pPr>
              <w:jc w:val="center"/>
              <w:rPr>
                <w:szCs w:val="24"/>
              </w:rPr>
            </w:pPr>
            <w:r w:rsidRPr="00905AFD">
              <w:rPr>
                <w:szCs w:val="24"/>
              </w:rPr>
              <w:t>Onion derived porous carbon</w:t>
            </w:r>
          </w:p>
        </w:tc>
        <w:tc>
          <w:tcPr>
            <w:tcW w:w="0" w:type="auto"/>
            <w:tcBorders>
              <w:top w:val="single" w:sz="4" w:space="0" w:color="auto"/>
              <w:left w:val="single" w:sz="4" w:space="0" w:color="auto"/>
              <w:bottom w:val="single" w:sz="4" w:space="0" w:color="auto"/>
              <w:right w:val="single" w:sz="4" w:space="0" w:color="auto"/>
            </w:tcBorders>
          </w:tcPr>
          <w:p w:rsidR="002B1DF2" w:rsidRPr="00905AFD" w:rsidRDefault="002B1DF2" w:rsidP="002B1DF2">
            <w:pPr>
              <w:jc w:val="center"/>
              <w:rPr>
                <w:szCs w:val="24"/>
              </w:rPr>
            </w:pPr>
            <w:r w:rsidRPr="00905AFD">
              <w:rPr>
                <w:szCs w:val="24"/>
              </w:rPr>
              <w:t>179.5 F/g at 0.5 A/g</w:t>
            </w:r>
          </w:p>
        </w:tc>
        <w:tc>
          <w:tcPr>
            <w:tcW w:w="0" w:type="auto"/>
            <w:tcBorders>
              <w:top w:val="single" w:sz="4" w:space="0" w:color="auto"/>
              <w:left w:val="single" w:sz="4" w:space="0" w:color="auto"/>
              <w:bottom w:val="single" w:sz="4" w:space="0" w:color="auto"/>
              <w:right w:val="single" w:sz="4" w:space="0" w:color="auto"/>
            </w:tcBorders>
          </w:tcPr>
          <w:p w:rsidR="002B1DF2" w:rsidRPr="00905AFD" w:rsidRDefault="00EE70B9" w:rsidP="00EE70B9">
            <w:pPr>
              <w:rPr>
                <w:iCs/>
                <w:szCs w:val="24"/>
              </w:rPr>
            </w:pPr>
            <w:r w:rsidRPr="00905AFD">
              <w:rPr>
                <w:iCs/>
                <w:szCs w:val="24"/>
              </w:rPr>
              <w:fldChar w:fldCharType="begin"/>
            </w:r>
            <w:r w:rsidRPr="00905AFD">
              <w:rPr>
                <w:iCs/>
                <w:szCs w:val="24"/>
              </w:rPr>
              <w:instrText xml:space="preserve"> ADDIN EN.CITE &lt;EndNote&gt;&lt;Cite&gt;&lt;Author&gt;Zhang&lt;/Author&gt;&lt;Year&gt;2018&lt;/Year&gt;&lt;RecNum&gt;98&lt;/RecNum&gt;&lt;DisplayText&gt;[4]&lt;/DisplayText&gt;&lt;record&gt;&lt;rec-number&gt;98&lt;/rec-number&gt;&lt;foreign-keys&gt;&lt;key app="EN" db-id="xvxzvdtxewetx4e9vv05tr085drevfeefsxz" timestamp="1556157823"&gt;98&lt;/key&gt;&lt;/foreign-keys&gt;&lt;ref-type name="Journal Article"&gt;17&lt;/ref-type&gt;&lt;contributors&gt;&lt;authors&gt;&lt;author&gt;Zhang, WenLi&lt;/author&gt;&lt;author&gt;Xu, JinHui&lt;/author&gt;&lt;author&gt;Hou, DianXun&lt;/author&gt;&lt;author&gt;Yin, Jian&lt;/author&gt;&lt;author&gt;Liu, DeBo&lt;/author&gt;&lt;author&gt;He, YaPeng&lt;/author&gt;&lt;author&gt;Lin, HaiBo&lt;/author&gt;&lt;/authors&gt;&lt;/contributors&gt;&lt;titles&gt;&lt;title&gt;Hierarchical porous carbon prepared from biomass through a facile method for supercapacitor applications&lt;/title&gt;&lt;secondary-title&gt;Journal of Colloid and Interface Science&lt;/secondary-title&gt;&lt;/titles&gt;&lt;periodical&gt;&lt;full-title&gt;Journal of Colloid and Interface Science&lt;/full-title&gt;&lt;/periodical&gt;&lt;pages&gt;338-344&lt;/pages&gt;&lt;volume&gt;530&lt;/volume&gt;&lt;keywords&gt;&lt;keyword&gt;Porous carbon&lt;/keyword&gt;&lt;keyword&gt;Supercapacitor&lt;/keyword&gt;&lt;keyword&gt;Micropore&lt;/keyword&gt;&lt;keyword&gt;Biomass&lt;/keyword&gt;&lt;keyword&gt;Hierarchical porous carbon&lt;/keyword&gt;&lt;keyword&gt;Electric double layer capacitor&lt;/keyword&gt;&lt;/keywords&gt;&lt;dates&gt;&lt;year&gt;2018&lt;/year&gt;&lt;pub-dates&gt;&lt;date&gt;2018/11/15/&lt;/date&gt;&lt;/pub-dates&gt;&lt;/dates&gt;&lt;isbn&gt;0021-9797&lt;/isbn&gt;&lt;urls&gt;&lt;related-urls&gt;&lt;url&gt;http://www.sciencedirect.com/science/article/pii/S0021979718307240&lt;/url&gt;&lt;/related-urls&gt;&lt;/urls&gt;&lt;electronic-resource-num&gt;https://doi.org/10.1016/j.jcis.2018.06.076&lt;/electronic-resource-num&gt;&lt;/record&gt;&lt;/Cite&gt;&lt;/EndNote&gt;</w:instrText>
            </w:r>
            <w:r w:rsidRPr="00905AFD">
              <w:rPr>
                <w:iCs/>
                <w:szCs w:val="24"/>
              </w:rPr>
              <w:fldChar w:fldCharType="separate"/>
            </w:r>
            <w:r w:rsidRPr="00905AFD">
              <w:rPr>
                <w:iCs/>
                <w:noProof/>
                <w:szCs w:val="24"/>
              </w:rPr>
              <w:t>[4]</w:t>
            </w:r>
            <w:r w:rsidRPr="00905AFD">
              <w:rPr>
                <w:iCs/>
                <w:szCs w:val="24"/>
              </w:rPr>
              <w:fldChar w:fldCharType="end"/>
            </w:r>
          </w:p>
        </w:tc>
      </w:tr>
      <w:tr w:rsidR="00905AFD" w:rsidRPr="00905AFD" w:rsidTr="00EE70B9">
        <w:tc>
          <w:tcPr>
            <w:tcW w:w="0" w:type="auto"/>
            <w:tcBorders>
              <w:top w:val="single" w:sz="4" w:space="0" w:color="auto"/>
              <w:left w:val="single" w:sz="4" w:space="0" w:color="auto"/>
              <w:bottom w:val="single" w:sz="4" w:space="0" w:color="auto"/>
              <w:right w:val="single" w:sz="4" w:space="0" w:color="auto"/>
            </w:tcBorders>
          </w:tcPr>
          <w:p w:rsidR="00CE414C" w:rsidRPr="00905AFD" w:rsidRDefault="00CE414C" w:rsidP="002B1DF2">
            <w:pPr>
              <w:jc w:val="center"/>
              <w:rPr>
                <w:szCs w:val="24"/>
              </w:rPr>
            </w:pPr>
            <w:r w:rsidRPr="00905AFD">
              <w:rPr>
                <w:szCs w:val="24"/>
              </w:rPr>
              <w:t>Hierarchical porous carbon sheets from cornstack</w:t>
            </w:r>
          </w:p>
        </w:tc>
        <w:tc>
          <w:tcPr>
            <w:tcW w:w="0" w:type="auto"/>
            <w:tcBorders>
              <w:top w:val="single" w:sz="4" w:space="0" w:color="auto"/>
              <w:left w:val="single" w:sz="4" w:space="0" w:color="auto"/>
              <w:bottom w:val="single" w:sz="4" w:space="0" w:color="auto"/>
              <w:right w:val="single" w:sz="4" w:space="0" w:color="auto"/>
            </w:tcBorders>
          </w:tcPr>
          <w:p w:rsidR="00CE414C" w:rsidRPr="00905AFD" w:rsidRDefault="00CE414C" w:rsidP="002B1DF2">
            <w:pPr>
              <w:jc w:val="center"/>
              <w:rPr>
                <w:szCs w:val="24"/>
              </w:rPr>
            </w:pPr>
            <w:r w:rsidRPr="00905AFD">
              <w:rPr>
                <w:szCs w:val="24"/>
              </w:rPr>
              <w:t>407 F/g at 1 A/g</w:t>
            </w:r>
          </w:p>
        </w:tc>
        <w:tc>
          <w:tcPr>
            <w:tcW w:w="0" w:type="auto"/>
            <w:tcBorders>
              <w:top w:val="single" w:sz="4" w:space="0" w:color="auto"/>
              <w:left w:val="single" w:sz="4" w:space="0" w:color="auto"/>
              <w:bottom w:val="single" w:sz="4" w:space="0" w:color="auto"/>
              <w:right w:val="single" w:sz="4" w:space="0" w:color="auto"/>
            </w:tcBorders>
          </w:tcPr>
          <w:p w:rsidR="00CE414C" w:rsidRPr="00905AFD" w:rsidRDefault="00CE414C" w:rsidP="00EE70B9">
            <w:pPr>
              <w:rPr>
                <w:szCs w:val="24"/>
              </w:rPr>
            </w:pPr>
            <w:r w:rsidRPr="00905AFD">
              <w:rPr>
                <w:szCs w:val="24"/>
              </w:rPr>
              <w:br/>
            </w:r>
            <w:r w:rsidR="00EE70B9" w:rsidRPr="00905AFD">
              <w:rPr>
                <w:szCs w:val="24"/>
              </w:rPr>
              <w:fldChar w:fldCharType="begin"/>
            </w:r>
            <w:r w:rsidR="00EE70B9" w:rsidRPr="00905AFD">
              <w:rPr>
                <w:szCs w:val="24"/>
              </w:rPr>
              <w:instrText xml:space="preserve"> ADDIN EN.CITE &lt;EndNote&gt;&lt;Cite&gt;&lt;Author&gt;Wang&lt;/Author&gt;&lt;Year&gt;2018&lt;/Year&gt;&lt;RecNum&gt;99&lt;/RecNum&gt;&lt;DisplayText&gt;[5]&lt;/DisplayText&gt;&lt;record&gt;&lt;rec-number&gt;99&lt;/rec-number&gt;&lt;foreign-keys&gt;&lt;key app="EN" db-id="xvxzvdtxewetx4e9vv05tr085drevfeefsxz" timestamp="1556157885"&gt;99&lt;/key&gt;&lt;/foreign-keys&gt;&lt;ref-type name="Journal Article"&gt;17&lt;/ref-type&gt;&lt;contributors&gt;&lt;authors&gt;&lt;author&gt;Wang, Cunjing&lt;/author&gt;&lt;author&gt;Wu, Dapeng&lt;/author&gt;&lt;author&gt;Wang, Hongju&lt;/author&gt;&lt;author&gt;Gao, Zhiyong&lt;/author&gt;&lt;author&gt;Xu, Fang&lt;/author&gt;&lt;author&gt;Jiang, Kai&lt;/author&gt;&lt;/authors&gt;&lt;/contributors&gt;&lt;titles&gt;&lt;title&gt;A green and scalable route to yield porous carbon sheets from biomass for supercapacitors with high capacity&lt;/title&gt;&lt;secondary-title&gt;Journal of Materials Chemistry A&lt;/secondary-title&gt;&lt;/titles&gt;&lt;periodical&gt;&lt;full-title&gt;Journal of Materials Chemistry A&lt;/full-title&gt;&lt;/periodical&gt;&lt;pages&gt;1244-1254&lt;/pages&gt;&lt;volume&gt;6&lt;/volume&gt;&lt;number&gt;3&lt;/number&gt;&lt;dates&gt;&lt;year&gt;2018&lt;/year&gt;&lt;/dates&gt;&lt;publisher&gt;The Royal Society of Chemistry&lt;/publisher&gt;&lt;isbn&gt;2050-7488&lt;/isbn&gt;&lt;work-type&gt;10.1039/C7TA07579K&lt;/work-type&gt;&lt;urls&gt;&lt;related-urls&gt;&lt;url&gt;http://dx.doi.org/10.1039/C7TA07579K&lt;/url&gt;&lt;/related-urls&gt;&lt;/urls&gt;&lt;electronic-resource-num&gt;10.1039/C7TA07579K&lt;/electronic-resource-num&gt;&lt;/record&gt;&lt;/Cite&gt;&lt;/EndNote&gt;</w:instrText>
            </w:r>
            <w:r w:rsidR="00EE70B9" w:rsidRPr="00905AFD">
              <w:rPr>
                <w:szCs w:val="24"/>
              </w:rPr>
              <w:fldChar w:fldCharType="separate"/>
            </w:r>
            <w:r w:rsidR="00EE70B9" w:rsidRPr="00905AFD">
              <w:rPr>
                <w:noProof/>
                <w:szCs w:val="24"/>
              </w:rPr>
              <w:t>[5]</w:t>
            </w:r>
            <w:r w:rsidR="00EE70B9" w:rsidRPr="00905AFD">
              <w:rPr>
                <w:szCs w:val="24"/>
              </w:rPr>
              <w:fldChar w:fldCharType="end"/>
            </w:r>
          </w:p>
        </w:tc>
      </w:tr>
      <w:tr w:rsidR="00905AFD" w:rsidRPr="00905AFD" w:rsidTr="00EE70B9">
        <w:tc>
          <w:tcPr>
            <w:tcW w:w="0" w:type="auto"/>
            <w:tcBorders>
              <w:top w:val="single" w:sz="4" w:space="0" w:color="auto"/>
              <w:left w:val="single" w:sz="4" w:space="0" w:color="auto"/>
              <w:bottom w:val="single" w:sz="4" w:space="0" w:color="auto"/>
              <w:right w:val="single" w:sz="4" w:space="0" w:color="auto"/>
            </w:tcBorders>
          </w:tcPr>
          <w:p w:rsidR="00912C84" w:rsidRPr="00905AFD" w:rsidRDefault="00912C84" w:rsidP="002B1DF2">
            <w:pPr>
              <w:jc w:val="center"/>
              <w:rPr>
                <w:szCs w:val="24"/>
              </w:rPr>
            </w:pPr>
            <w:r w:rsidRPr="00905AFD">
              <w:rPr>
                <w:szCs w:val="24"/>
              </w:rPr>
              <w:t>Graphene enriched carbon aerogel</w:t>
            </w:r>
          </w:p>
        </w:tc>
        <w:tc>
          <w:tcPr>
            <w:tcW w:w="0" w:type="auto"/>
            <w:tcBorders>
              <w:top w:val="single" w:sz="4" w:space="0" w:color="auto"/>
              <w:left w:val="single" w:sz="4" w:space="0" w:color="auto"/>
              <w:bottom w:val="single" w:sz="4" w:space="0" w:color="auto"/>
              <w:right w:val="single" w:sz="4" w:space="0" w:color="auto"/>
            </w:tcBorders>
          </w:tcPr>
          <w:p w:rsidR="00912C84" w:rsidRPr="00905AFD" w:rsidRDefault="00912C84" w:rsidP="002B1DF2">
            <w:pPr>
              <w:jc w:val="center"/>
              <w:rPr>
                <w:szCs w:val="24"/>
              </w:rPr>
            </w:pPr>
            <w:r w:rsidRPr="00905AFD">
              <w:rPr>
                <w:szCs w:val="24"/>
              </w:rPr>
              <w:t>335 F/g at 0.1 A/g</w:t>
            </w:r>
          </w:p>
        </w:tc>
        <w:tc>
          <w:tcPr>
            <w:tcW w:w="0" w:type="auto"/>
            <w:tcBorders>
              <w:top w:val="single" w:sz="4" w:space="0" w:color="auto"/>
              <w:left w:val="single" w:sz="4" w:space="0" w:color="auto"/>
              <w:bottom w:val="single" w:sz="4" w:space="0" w:color="auto"/>
              <w:right w:val="single" w:sz="4" w:space="0" w:color="auto"/>
            </w:tcBorders>
          </w:tcPr>
          <w:p w:rsidR="00912C84" w:rsidRPr="00905AFD" w:rsidRDefault="00EE70B9" w:rsidP="00EE70B9">
            <w:pPr>
              <w:rPr>
                <w:szCs w:val="24"/>
              </w:rPr>
            </w:pPr>
            <w:r w:rsidRPr="00905AFD">
              <w:rPr>
                <w:szCs w:val="24"/>
              </w:rPr>
              <w:fldChar w:fldCharType="begin"/>
            </w:r>
            <w:r w:rsidRPr="00905AFD">
              <w:rPr>
                <w:szCs w:val="24"/>
              </w:rPr>
              <w:instrText xml:space="preserve"> ADDIN EN.CITE &lt;EndNote&gt;&lt;Cite&gt;&lt;Author&gt;Yang&lt;/Author&gt;&lt;Year&gt;2015&lt;/Year&gt;&lt;RecNum&gt;100&lt;/RecNum&gt;&lt;DisplayText&gt;[6]&lt;/DisplayText&gt;&lt;record&gt;&lt;rec-number&gt;100&lt;/rec-number&gt;&lt;foreign-keys&gt;&lt;key app="EN" db-id="xvxzvdtxewetx4e9vv05tr085drevfeefsxz" timestamp="1556157962"&gt;100&lt;/key&gt;&lt;/foreign-keys&gt;&lt;ref-type name="Journal Article"&gt;17&lt;/ref-type&gt;&lt;contributors&gt;&lt;authors&gt;&lt;author&gt;Yang, Xiangwen&lt;/author&gt;&lt;author&gt;Zhuang, Xiaodong&lt;/author&gt;&lt;author&gt;Huang, Yinjuan&lt;/author&gt;&lt;author&gt;Jiang, Jianzhong&lt;/author&gt;&lt;author&gt;Tian, Hao&lt;/author&gt;&lt;author&gt;Wu, Dongqing&lt;/author&gt;&lt;author&gt;Zhang, Fan&lt;/author&gt;&lt;author&gt;Mai, Yiyong&lt;/author&gt;&lt;author&gt;Feng, Xinliang&lt;/author&gt;&lt;/authors&gt;&lt;/contributors&gt;&lt;titles&gt;&lt;title&gt;Nitrogen-enriched hierarchically porous carbon materials fabricated by graphene aerogel templated Schiff-base chemistry for high performance electrochemical capacitors&lt;/title&gt;&lt;secondary-title&gt;Polymer Chemistry&lt;/secondary-title&gt;&lt;/titles&gt;&lt;periodical&gt;&lt;full-title&gt;Polymer Chemistry&lt;/full-title&gt;&lt;/periodical&gt;&lt;pages&gt;1088-1095&lt;/pages&gt;&lt;volume&gt;6&lt;/volume&gt;&lt;number&gt;7&lt;/number&gt;&lt;dates&gt;&lt;year&gt;2015&lt;/year&gt;&lt;/dates&gt;&lt;publisher&gt;The Royal Society of Chemistry&lt;/publisher&gt;&lt;isbn&gt;1759-9954&lt;/isbn&gt;&lt;work-type&gt;10.1039/C4PY01408A&lt;/work-type&gt;&lt;urls&gt;&lt;related-urls&gt;&lt;url&gt;http://dx.doi.org/10.1039/C4PY01408A&lt;/url&gt;&lt;/related-urls&gt;&lt;/urls&gt;&lt;electronic-resource-num&gt;10.1039/C4PY01408A&lt;/electronic-resource-num&gt;&lt;/record&gt;&lt;/Cite&gt;&lt;/EndNote&gt;</w:instrText>
            </w:r>
            <w:r w:rsidRPr="00905AFD">
              <w:rPr>
                <w:szCs w:val="24"/>
              </w:rPr>
              <w:fldChar w:fldCharType="separate"/>
            </w:r>
            <w:r w:rsidRPr="00905AFD">
              <w:rPr>
                <w:noProof/>
                <w:szCs w:val="24"/>
              </w:rPr>
              <w:t>[6]</w:t>
            </w:r>
            <w:r w:rsidRPr="00905AFD">
              <w:rPr>
                <w:szCs w:val="24"/>
              </w:rPr>
              <w:fldChar w:fldCharType="end"/>
            </w:r>
          </w:p>
        </w:tc>
      </w:tr>
    </w:tbl>
    <w:p w:rsidR="00B6143B" w:rsidRDefault="00B6143B" w:rsidP="00CC6528">
      <w:pPr>
        <w:rPr>
          <w:lang w:eastAsia="ja-JP"/>
        </w:rPr>
      </w:pPr>
      <w:r w:rsidRPr="00EE70B9">
        <w:rPr>
          <w:b/>
          <w:lang w:eastAsia="ja-JP"/>
        </w:rPr>
        <w:t>References</w:t>
      </w:r>
      <w:r>
        <w:rPr>
          <w:lang w:eastAsia="ja-JP"/>
        </w:rPr>
        <w:t>:</w:t>
      </w:r>
    </w:p>
    <w:p w:rsidR="00EE70B9" w:rsidRPr="00EE70B9" w:rsidRDefault="00B6143B" w:rsidP="00E23600">
      <w:pPr>
        <w:pStyle w:val="EndNoteBibliography"/>
        <w:spacing w:after="0" w:line="360" w:lineRule="auto"/>
        <w:jc w:val="both"/>
      </w:pPr>
      <w:r>
        <w:rPr>
          <w:lang w:eastAsia="ja-JP"/>
        </w:rPr>
        <w:lastRenderedPageBreak/>
        <w:fldChar w:fldCharType="begin"/>
      </w:r>
      <w:r>
        <w:rPr>
          <w:lang w:eastAsia="ja-JP"/>
        </w:rPr>
        <w:instrText xml:space="preserve"> ADDIN EN.REFLIST </w:instrText>
      </w:r>
      <w:r>
        <w:rPr>
          <w:lang w:eastAsia="ja-JP"/>
        </w:rPr>
        <w:fldChar w:fldCharType="separate"/>
      </w:r>
      <w:r w:rsidR="00EE70B9" w:rsidRPr="00EE70B9">
        <w:t>[1] M. Skunik, M. Chojak, I.A. Rutkowska, P.J. Kulesza, Improved capacitance characteristics during electrochemical charging of carbon nanotubes modified with polyoxometallate monolayers, Electrochimica Acta, 53 (2008) 3862-3869.</w:t>
      </w:r>
    </w:p>
    <w:p w:rsidR="00EE70B9" w:rsidRPr="00EE70B9" w:rsidRDefault="00EE70B9" w:rsidP="00E23600">
      <w:pPr>
        <w:pStyle w:val="EndNoteBibliography"/>
        <w:spacing w:after="0" w:line="360" w:lineRule="auto"/>
        <w:jc w:val="both"/>
      </w:pPr>
      <w:r w:rsidRPr="00EE70B9">
        <w:t>[2] S.H. Aboutalebi, A.T. Chidembo, M. Salari, K. Konstantinov, D. Wexler, H.K. Liu, S.X. Dou, Comparison of GO, GO/MWCNTs composite and MWCNTs as potential electrode materials for supercapacitors, Energ Environ Sci, 4 (2011) 1855-1865.</w:t>
      </w:r>
    </w:p>
    <w:p w:rsidR="00EE70B9" w:rsidRPr="00EE70B9" w:rsidRDefault="00EE70B9" w:rsidP="00E23600">
      <w:pPr>
        <w:pStyle w:val="EndNoteBibliography"/>
        <w:spacing w:after="0" w:line="360" w:lineRule="auto"/>
        <w:jc w:val="both"/>
      </w:pPr>
      <w:r w:rsidRPr="00EE70B9">
        <w:t>[3] J. Cao, C. Zhu, Y. Aoki, H. Habazaki, Starch-Derived Hierarchical Porous Carbon with Controlled Porosity for High Performance Supercapacitors, ACS Sustainable Chemistry &amp; Engineering, 6 (2018) 7292-7303.</w:t>
      </w:r>
    </w:p>
    <w:p w:rsidR="00EE70B9" w:rsidRPr="00EE70B9" w:rsidRDefault="00EE70B9" w:rsidP="00E23600">
      <w:pPr>
        <w:pStyle w:val="EndNoteBibliography"/>
        <w:spacing w:after="0" w:line="360" w:lineRule="auto"/>
        <w:jc w:val="both"/>
      </w:pPr>
      <w:r w:rsidRPr="00EE70B9">
        <w:t>[4] W. Zhang, J. Xu, D. Hou, J. Yin, D. Liu, Y. He, H. Lin, Hierarchical porous carbon prepared from biomass through a facile method for supercapacitor applications, Journal of Colloid and Interface Science, 530 (2018) 338-344.</w:t>
      </w:r>
    </w:p>
    <w:p w:rsidR="00EE70B9" w:rsidRPr="00EE70B9" w:rsidRDefault="00EE70B9" w:rsidP="00E23600">
      <w:pPr>
        <w:pStyle w:val="EndNoteBibliography"/>
        <w:spacing w:after="0" w:line="360" w:lineRule="auto"/>
        <w:jc w:val="both"/>
      </w:pPr>
      <w:r w:rsidRPr="00EE70B9">
        <w:t>[5] C. Wang, D. Wu, H. Wang, Z. Gao, F. Xu, K. Jiang, A green and scalable route to yield porous carbon sheets from biomass for supercapacitors with high capacity, Journal of Materials Chemistry A, 6 (2018) 1244-1254.</w:t>
      </w:r>
    </w:p>
    <w:p w:rsidR="00EE70B9" w:rsidRPr="00EE70B9" w:rsidRDefault="00EE70B9" w:rsidP="00E23600">
      <w:pPr>
        <w:pStyle w:val="EndNoteBibliography"/>
        <w:spacing w:line="360" w:lineRule="auto"/>
        <w:jc w:val="both"/>
      </w:pPr>
      <w:r w:rsidRPr="00EE70B9">
        <w:t>[6] X. Yang, X. Zhuang, Y. Huang, J. Jiang, H. Tian, D. Wu, F. Zhang, Y. Mai, X. Feng, Nitrogen-enriched hierarchically porous carbon materials fabricated by graphene aerogel templated Schiff-base chemistry for high performance electrochemical capacitors, Polymer Chemistry, 6 (2015) 1088-1095.</w:t>
      </w:r>
    </w:p>
    <w:p w:rsidR="00B6143B" w:rsidRPr="00CC6528" w:rsidRDefault="00B6143B" w:rsidP="00E23600">
      <w:pPr>
        <w:spacing w:line="360" w:lineRule="auto"/>
        <w:rPr>
          <w:lang w:eastAsia="ja-JP"/>
        </w:rPr>
      </w:pPr>
      <w:r>
        <w:rPr>
          <w:lang w:eastAsia="ja-JP"/>
        </w:rPr>
        <w:fldChar w:fldCharType="end"/>
      </w:r>
    </w:p>
    <w:sectPr w:rsidR="00B6143B" w:rsidRPr="00CC6528" w:rsidSect="000B5610">
      <w:footerReference w:type="even" r:id="rId17"/>
      <w:footerReference w:type="default" r:id="rId1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F4E" w:rsidRDefault="00426F4E">
      <w:r>
        <w:separator/>
      </w:r>
    </w:p>
  </w:endnote>
  <w:endnote w:type="continuationSeparator" w:id="0">
    <w:p w:rsidR="00426F4E" w:rsidRDefault="00426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3B" w:rsidRDefault="00B614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6143B" w:rsidRDefault="00B614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533382"/>
      <w:docPartObj>
        <w:docPartGallery w:val="Page Numbers (Bottom of Page)"/>
        <w:docPartUnique/>
      </w:docPartObj>
    </w:sdtPr>
    <w:sdtEndPr>
      <w:rPr>
        <w:noProof/>
      </w:rPr>
    </w:sdtEndPr>
    <w:sdtContent>
      <w:p w:rsidR="00B6143B" w:rsidRDefault="00B6143B">
        <w:pPr>
          <w:pStyle w:val="Footer"/>
          <w:jc w:val="center"/>
        </w:pPr>
        <w:r>
          <w:t>[</w:t>
        </w:r>
        <w:r>
          <w:fldChar w:fldCharType="begin"/>
        </w:r>
        <w:r>
          <w:instrText xml:space="preserve"> PAGE   \* MERGEFORMAT </w:instrText>
        </w:r>
        <w:r>
          <w:fldChar w:fldCharType="separate"/>
        </w:r>
        <w:r w:rsidR="00A74CD7">
          <w:rPr>
            <w:noProof/>
          </w:rPr>
          <w:t>1</w:t>
        </w:r>
        <w:r>
          <w:rPr>
            <w:noProof/>
          </w:rPr>
          <w:fldChar w:fldCharType="end"/>
        </w:r>
        <w:r>
          <w:rPr>
            <w:noProof/>
          </w:rPr>
          <w:t>]</w:t>
        </w:r>
      </w:p>
    </w:sdtContent>
  </w:sdt>
  <w:p w:rsidR="00B6143B" w:rsidRDefault="00B6143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F4E" w:rsidRDefault="00426F4E">
      <w:r>
        <w:separator/>
      </w:r>
    </w:p>
  </w:footnote>
  <w:footnote w:type="continuationSeparator" w:id="0">
    <w:p w:rsidR="00426F4E" w:rsidRDefault="00426F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nsid w:val="4A002A65"/>
    <w:multiLevelType w:val="hybridMultilevel"/>
    <w:tmpl w:val="7D48B02E"/>
    <w:lvl w:ilvl="0" w:tplc="B162A2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BD965CD"/>
    <w:multiLevelType w:val="hybridMultilevel"/>
    <w:tmpl w:val="28E4181C"/>
    <w:lvl w:ilvl="0" w:tplc="AAE24846">
      <w:start w:val="1"/>
      <w:numFmt w:val="decimal"/>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Micropor Mesopor Material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xzvdtxewetx4e9vv05tr085drevfeefsxz&quot;&gt;Hematite&lt;record-ids&gt;&lt;item&gt;95&lt;/item&gt;&lt;item&gt;96&lt;/item&gt;&lt;item&gt;97&lt;/item&gt;&lt;item&gt;98&lt;/item&gt;&lt;item&gt;99&lt;/item&gt;&lt;item&gt;100&lt;/item&gt;&lt;/record-ids&gt;&lt;/item&gt;&lt;/Libraries&gt;"/>
  </w:docVars>
  <w:rsids>
    <w:rsidRoot w:val="00AA7E83"/>
    <w:rsid w:val="000002F2"/>
    <w:rsid w:val="000006D9"/>
    <w:rsid w:val="000105F3"/>
    <w:rsid w:val="00012A64"/>
    <w:rsid w:val="000233B0"/>
    <w:rsid w:val="000233B9"/>
    <w:rsid w:val="00046ED1"/>
    <w:rsid w:val="00054865"/>
    <w:rsid w:val="0005660F"/>
    <w:rsid w:val="00057B65"/>
    <w:rsid w:val="000702AD"/>
    <w:rsid w:val="00083CBC"/>
    <w:rsid w:val="000849E0"/>
    <w:rsid w:val="000858EF"/>
    <w:rsid w:val="00087F64"/>
    <w:rsid w:val="000920F8"/>
    <w:rsid w:val="00092F54"/>
    <w:rsid w:val="00097705"/>
    <w:rsid w:val="000B2EEB"/>
    <w:rsid w:val="000B5610"/>
    <w:rsid w:val="000C05CC"/>
    <w:rsid w:val="000C3418"/>
    <w:rsid w:val="000C5D0E"/>
    <w:rsid w:val="000C7583"/>
    <w:rsid w:val="000D1CA0"/>
    <w:rsid w:val="000D4F43"/>
    <w:rsid w:val="000D5D4A"/>
    <w:rsid w:val="000F3700"/>
    <w:rsid w:val="001078BC"/>
    <w:rsid w:val="00134A0F"/>
    <w:rsid w:val="00137C15"/>
    <w:rsid w:val="0014219D"/>
    <w:rsid w:val="001525CB"/>
    <w:rsid w:val="00154EEE"/>
    <w:rsid w:val="00156FCB"/>
    <w:rsid w:val="001577D5"/>
    <w:rsid w:val="00162EFE"/>
    <w:rsid w:val="001714B0"/>
    <w:rsid w:val="00184761"/>
    <w:rsid w:val="001870B9"/>
    <w:rsid w:val="00195ACA"/>
    <w:rsid w:val="00196470"/>
    <w:rsid w:val="001A7A90"/>
    <w:rsid w:val="001E66E9"/>
    <w:rsid w:val="002067E3"/>
    <w:rsid w:val="00212B1D"/>
    <w:rsid w:val="00221A16"/>
    <w:rsid w:val="0022490D"/>
    <w:rsid w:val="002357B9"/>
    <w:rsid w:val="00241039"/>
    <w:rsid w:val="00241EEC"/>
    <w:rsid w:val="00255710"/>
    <w:rsid w:val="0026115E"/>
    <w:rsid w:val="00266D57"/>
    <w:rsid w:val="00271A02"/>
    <w:rsid w:val="002817AE"/>
    <w:rsid w:val="002A45CA"/>
    <w:rsid w:val="002A7493"/>
    <w:rsid w:val="002B1DF2"/>
    <w:rsid w:val="002B60B2"/>
    <w:rsid w:val="002B6C45"/>
    <w:rsid w:val="002C3431"/>
    <w:rsid w:val="002E2E1E"/>
    <w:rsid w:val="002F4EBB"/>
    <w:rsid w:val="00301B8A"/>
    <w:rsid w:val="003079D5"/>
    <w:rsid w:val="0031373B"/>
    <w:rsid w:val="00321F92"/>
    <w:rsid w:val="00322A3D"/>
    <w:rsid w:val="00324128"/>
    <w:rsid w:val="00331833"/>
    <w:rsid w:val="003349FC"/>
    <w:rsid w:val="00336122"/>
    <w:rsid w:val="00343713"/>
    <w:rsid w:val="00345E7B"/>
    <w:rsid w:val="00357EDA"/>
    <w:rsid w:val="00361E35"/>
    <w:rsid w:val="003664E9"/>
    <w:rsid w:val="003679A1"/>
    <w:rsid w:val="0037395C"/>
    <w:rsid w:val="003A42F0"/>
    <w:rsid w:val="003A6ACF"/>
    <w:rsid w:val="003B4AF3"/>
    <w:rsid w:val="003D158C"/>
    <w:rsid w:val="003D1656"/>
    <w:rsid w:val="003D2AF5"/>
    <w:rsid w:val="003E1F76"/>
    <w:rsid w:val="003E4877"/>
    <w:rsid w:val="003E6465"/>
    <w:rsid w:val="003F1892"/>
    <w:rsid w:val="00403458"/>
    <w:rsid w:val="004114DD"/>
    <w:rsid w:val="00413265"/>
    <w:rsid w:val="00422D15"/>
    <w:rsid w:val="004243EC"/>
    <w:rsid w:val="004269E7"/>
    <w:rsid w:val="00426F4E"/>
    <w:rsid w:val="00427B39"/>
    <w:rsid w:val="004340B5"/>
    <w:rsid w:val="004346B9"/>
    <w:rsid w:val="0044581F"/>
    <w:rsid w:val="00446D41"/>
    <w:rsid w:val="00464857"/>
    <w:rsid w:val="00475FD2"/>
    <w:rsid w:val="00477DB8"/>
    <w:rsid w:val="00484173"/>
    <w:rsid w:val="00490C5C"/>
    <w:rsid w:val="0049445F"/>
    <w:rsid w:val="004A1555"/>
    <w:rsid w:val="004A209A"/>
    <w:rsid w:val="004A36E2"/>
    <w:rsid w:val="004A50A1"/>
    <w:rsid w:val="004B5DCD"/>
    <w:rsid w:val="004E283C"/>
    <w:rsid w:val="004E7185"/>
    <w:rsid w:val="00507C93"/>
    <w:rsid w:val="00522ABC"/>
    <w:rsid w:val="00523EB3"/>
    <w:rsid w:val="00526669"/>
    <w:rsid w:val="00553F87"/>
    <w:rsid w:val="005553EF"/>
    <w:rsid w:val="00556E5D"/>
    <w:rsid w:val="00567E81"/>
    <w:rsid w:val="00591A57"/>
    <w:rsid w:val="0059461A"/>
    <w:rsid w:val="005A15A0"/>
    <w:rsid w:val="005B1060"/>
    <w:rsid w:val="005B6E42"/>
    <w:rsid w:val="005B6F55"/>
    <w:rsid w:val="005D0C10"/>
    <w:rsid w:val="005F3837"/>
    <w:rsid w:val="00600DB6"/>
    <w:rsid w:val="006019F7"/>
    <w:rsid w:val="006104C6"/>
    <w:rsid w:val="00616E4E"/>
    <w:rsid w:val="00630766"/>
    <w:rsid w:val="006378E3"/>
    <w:rsid w:val="006455A5"/>
    <w:rsid w:val="00667229"/>
    <w:rsid w:val="00677F8B"/>
    <w:rsid w:val="00683131"/>
    <w:rsid w:val="006835D9"/>
    <w:rsid w:val="006909F6"/>
    <w:rsid w:val="006A3E34"/>
    <w:rsid w:val="006A5350"/>
    <w:rsid w:val="006B2581"/>
    <w:rsid w:val="006C3E22"/>
    <w:rsid w:val="006C467F"/>
    <w:rsid w:val="006D59CC"/>
    <w:rsid w:val="007000D9"/>
    <w:rsid w:val="00703144"/>
    <w:rsid w:val="00717877"/>
    <w:rsid w:val="00721266"/>
    <w:rsid w:val="007245A8"/>
    <w:rsid w:val="007312EF"/>
    <w:rsid w:val="007409F5"/>
    <w:rsid w:val="00741ABA"/>
    <w:rsid w:val="00743F9A"/>
    <w:rsid w:val="00747701"/>
    <w:rsid w:val="0075206A"/>
    <w:rsid w:val="00753DDF"/>
    <w:rsid w:val="00760652"/>
    <w:rsid w:val="007629D3"/>
    <w:rsid w:val="00764FA7"/>
    <w:rsid w:val="00771CB2"/>
    <w:rsid w:val="007766D3"/>
    <w:rsid w:val="00780374"/>
    <w:rsid w:val="00794616"/>
    <w:rsid w:val="0079546F"/>
    <w:rsid w:val="007A0207"/>
    <w:rsid w:val="007A11AD"/>
    <w:rsid w:val="007A42A3"/>
    <w:rsid w:val="007A74AA"/>
    <w:rsid w:val="007C13CC"/>
    <w:rsid w:val="007C32D3"/>
    <w:rsid w:val="007D0628"/>
    <w:rsid w:val="007E32D7"/>
    <w:rsid w:val="007F07D6"/>
    <w:rsid w:val="007F1BB3"/>
    <w:rsid w:val="0080056C"/>
    <w:rsid w:val="008047DE"/>
    <w:rsid w:val="00822390"/>
    <w:rsid w:val="00833F07"/>
    <w:rsid w:val="008633FA"/>
    <w:rsid w:val="008655C0"/>
    <w:rsid w:val="008706E9"/>
    <w:rsid w:val="00883414"/>
    <w:rsid w:val="00894C8C"/>
    <w:rsid w:val="008B6D46"/>
    <w:rsid w:val="008D30F9"/>
    <w:rsid w:val="008D53B2"/>
    <w:rsid w:val="008D6EB3"/>
    <w:rsid w:val="008E570B"/>
    <w:rsid w:val="00903B6C"/>
    <w:rsid w:val="00905AFD"/>
    <w:rsid w:val="00912169"/>
    <w:rsid w:val="00912C84"/>
    <w:rsid w:val="0092037A"/>
    <w:rsid w:val="009246AD"/>
    <w:rsid w:val="00926D66"/>
    <w:rsid w:val="00934428"/>
    <w:rsid w:val="00952CD6"/>
    <w:rsid w:val="00953FC8"/>
    <w:rsid w:val="009640A3"/>
    <w:rsid w:val="009A323C"/>
    <w:rsid w:val="009A3A3D"/>
    <w:rsid w:val="009B5E2A"/>
    <w:rsid w:val="009B686A"/>
    <w:rsid w:val="009B7448"/>
    <w:rsid w:val="009C7F99"/>
    <w:rsid w:val="009D08F1"/>
    <w:rsid w:val="009D2741"/>
    <w:rsid w:val="009D66F0"/>
    <w:rsid w:val="009F2E7E"/>
    <w:rsid w:val="009F36C6"/>
    <w:rsid w:val="009F55F9"/>
    <w:rsid w:val="00A02D62"/>
    <w:rsid w:val="00A064F7"/>
    <w:rsid w:val="00A20EB5"/>
    <w:rsid w:val="00A257A4"/>
    <w:rsid w:val="00A3301E"/>
    <w:rsid w:val="00A34F33"/>
    <w:rsid w:val="00A51D2F"/>
    <w:rsid w:val="00A6414D"/>
    <w:rsid w:val="00A649CA"/>
    <w:rsid w:val="00A74CD7"/>
    <w:rsid w:val="00A764EF"/>
    <w:rsid w:val="00A80717"/>
    <w:rsid w:val="00A97AE0"/>
    <w:rsid w:val="00AA3272"/>
    <w:rsid w:val="00AA723C"/>
    <w:rsid w:val="00AA7E83"/>
    <w:rsid w:val="00AB05D9"/>
    <w:rsid w:val="00AB10DE"/>
    <w:rsid w:val="00AB2234"/>
    <w:rsid w:val="00AB34C5"/>
    <w:rsid w:val="00AE727A"/>
    <w:rsid w:val="00AF29C3"/>
    <w:rsid w:val="00AF4F6D"/>
    <w:rsid w:val="00AF77DA"/>
    <w:rsid w:val="00AF7F6A"/>
    <w:rsid w:val="00B05A88"/>
    <w:rsid w:val="00B248EE"/>
    <w:rsid w:val="00B41D93"/>
    <w:rsid w:val="00B43852"/>
    <w:rsid w:val="00B44641"/>
    <w:rsid w:val="00B53E4C"/>
    <w:rsid w:val="00B612A1"/>
    <w:rsid w:val="00B6143B"/>
    <w:rsid w:val="00B74F72"/>
    <w:rsid w:val="00B7618D"/>
    <w:rsid w:val="00B81F88"/>
    <w:rsid w:val="00B85474"/>
    <w:rsid w:val="00B96291"/>
    <w:rsid w:val="00BB5662"/>
    <w:rsid w:val="00BC76F4"/>
    <w:rsid w:val="00BD2C44"/>
    <w:rsid w:val="00BD5BFA"/>
    <w:rsid w:val="00C020FC"/>
    <w:rsid w:val="00C058D7"/>
    <w:rsid w:val="00C10EE0"/>
    <w:rsid w:val="00C12556"/>
    <w:rsid w:val="00C1558D"/>
    <w:rsid w:val="00C36C40"/>
    <w:rsid w:val="00C47D5A"/>
    <w:rsid w:val="00C6170A"/>
    <w:rsid w:val="00C705D5"/>
    <w:rsid w:val="00C72B00"/>
    <w:rsid w:val="00C72FE4"/>
    <w:rsid w:val="00C75BB8"/>
    <w:rsid w:val="00C7686A"/>
    <w:rsid w:val="00C972DA"/>
    <w:rsid w:val="00CA7A88"/>
    <w:rsid w:val="00CB793D"/>
    <w:rsid w:val="00CC4665"/>
    <w:rsid w:val="00CC58F7"/>
    <w:rsid w:val="00CC6528"/>
    <w:rsid w:val="00CE141F"/>
    <w:rsid w:val="00CE414C"/>
    <w:rsid w:val="00CE642A"/>
    <w:rsid w:val="00CE7BF6"/>
    <w:rsid w:val="00D0187A"/>
    <w:rsid w:val="00D124B4"/>
    <w:rsid w:val="00D17E90"/>
    <w:rsid w:val="00D23D6B"/>
    <w:rsid w:val="00D27BF8"/>
    <w:rsid w:val="00D318E5"/>
    <w:rsid w:val="00D32E24"/>
    <w:rsid w:val="00D361B5"/>
    <w:rsid w:val="00D41DE5"/>
    <w:rsid w:val="00D53EAA"/>
    <w:rsid w:val="00D669ED"/>
    <w:rsid w:val="00D93840"/>
    <w:rsid w:val="00DA0467"/>
    <w:rsid w:val="00DA61D0"/>
    <w:rsid w:val="00DB26EC"/>
    <w:rsid w:val="00DC324B"/>
    <w:rsid w:val="00DC6855"/>
    <w:rsid w:val="00DD5E0E"/>
    <w:rsid w:val="00DD6DBB"/>
    <w:rsid w:val="00DE15D9"/>
    <w:rsid w:val="00E0153D"/>
    <w:rsid w:val="00E05BA1"/>
    <w:rsid w:val="00E074F2"/>
    <w:rsid w:val="00E077A4"/>
    <w:rsid w:val="00E1578F"/>
    <w:rsid w:val="00E205A8"/>
    <w:rsid w:val="00E218A2"/>
    <w:rsid w:val="00E23600"/>
    <w:rsid w:val="00E37E26"/>
    <w:rsid w:val="00E43EC2"/>
    <w:rsid w:val="00E54704"/>
    <w:rsid w:val="00E70A06"/>
    <w:rsid w:val="00E80224"/>
    <w:rsid w:val="00E91482"/>
    <w:rsid w:val="00E95D4E"/>
    <w:rsid w:val="00E96302"/>
    <w:rsid w:val="00EA1706"/>
    <w:rsid w:val="00EB1243"/>
    <w:rsid w:val="00EB46F5"/>
    <w:rsid w:val="00EC53D9"/>
    <w:rsid w:val="00ED7441"/>
    <w:rsid w:val="00EE70B9"/>
    <w:rsid w:val="00F00402"/>
    <w:rsid w:val="00F04B0B"/>
    <w:rsid w:val="00F134F5"/>
    <w:rsid w:val="00F350EB"/>
    <w:rsid w:val="00F4543F"/>
    <w:rsid w:val="00F47B85"/>
    <w:rsid w:val="00F52AA4"/>
    <w:rsid w:val="00F54BDD"/>
    <w:rsid w:val="00F5645C"/>
    <w:rsid w:val="00F60539"/>
    <w:rsid w:val="00F6287E"/>
    <w:rsid w:val="00F8776F"/>
    <w:rsid w:val="00F97030"/>
    <w:rsid w:val="00FA480D"/>
    <w:rsid w:val="00FA5D7E"/>
    <w:rsid w:val="00FC2D9B"/>
    <w:rsid w:val="00FD7E11"/>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uiPriority w:val="99"/>
    <w:unhideWhenUsed/>
    <w:rsid w:val="00A6414D"/>
    <w:rPr>
      <w:sz w:val="16"/>
      <w:szCs w:val="16"/>
    </w:rPr>
  </w:style>
  <w:style w:type="paragraph" w:styleId="CommentText">
    <w:name w:val="annotation text"/>
    <w:basedOn w:val="Normal"/>
    <w:link w:val="CommentTextChar"/>
    <w:uiPriority w:val="99"/>
    <w:unhideWhenUsed/>
    <w:rsid w:val="00A6414D"/>
    <w:pPr>
      <w:jc w:val="left"/>
    </w:pPr>
    <w:rPr>
      <w:rFonts w:asciiTheme="minorHAnsi" w:eastAsiaTheme="minorEastAsia" w:hAnsiTheme="minorHAnsi" w:cstheme="minorBidi"/>
      <w:sz w:val="20"/>
      <w:lang w:val="en-AU" w:eastAsia="en-AU"/>
    </w:rPr>
  </w:style>
  <w:style w:type="character" w:customStyle="1" w:styleId="CommentTextChar">
    <w:name w:val="Comment Text Char"/>
    <w:basedOn w:val="DefaultParagraphFont"/>
    <w:link w:val="CommentText"/>
    <w:uiPriority w:val="99"/>
    <w:rsid w:val="00A6414D"/>
    <w:rPr>
      <w:rFonts w:asciiTheme="minorHAnsi" w:eastAsiaTheme="minorEastAsia" w:hAnsiTheme="minorHAnsi" w:cstheme="minorBidi"/>
      <w:lang w:val="en-AU" w:eastAsia="en-AU"/>
    </w:rPr>
  </w:style>
  <w:style w:type="table" w:styleId="TableGrid">
    <w:name w:val="Table Grid"/>
    <w:basedOn w:val="TableNormal"/>
    <w:rsid w:val="00CC58F7"/>
    <w:rPr>
      <w:rFonts w:asciiTheme="minorHAnsi" w:eastAsiaTheme="minorEastAsia"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SCB02ArticleText">
    <w:name w:val="RSC B02 Article Text"/>
    <w:basedOn w:val="Normal"/>
    <w:link w:val="RSCB02ArticleTextChar"/>
    <w:qFormat/>
    <w:rsid w:val="00CC58F7"/>
    <w:pPr>
      <w:tabs>
        <w:tab w:val="left" w:pos="284"/>
      </w:tabs>
      <w:spacing w:after="0" w:line="240" w:lineRule="exact"/>
    </w:pPr>
    <w:rPr>
      <w:rFonts w:asciiTheme="minorHAnsi" w:eastAsiaTheme="minorEastAsia" w:hAnsiTheme="minorHAnsi"/>
      <w:w w:val="108"/>
      <w:sz w:val="18"/>
      <w:szCs w:val="18"/>
      <w:lang w:val="en-GB"/>
    </w:rPr>
  </w:style>
  <w:style w:type="character" w:customStyle="1" w:styleId="RSCB02ArticleTextChar">
    <w:name w:val="RSC B02 Article Text Char"/>
    <w:basedOn w:val="DefaultParagraphFont"/>
    <w:link w:val="RSCB02ArticleText"/>
    <w:rsid w:val="00CC58F7"/>
    <w:rPr>
      <w:rFonts w:asciiTheme="minorHAnsi" w:eastAsiaTheme="minorEastAsia" w:hAnsiTheme="minorHAnsi"/>
      <w:w w:val="108"/>
      <w:sz w:val="18"/>
      <w:szCs w:val="18"/>
      <w:lang w:val="en-GB"/>
    </w:rPr>
  </w:style>
  <w:style w:type="paragraph" w:styleId="NormalWeb">
    <w:name w:val="Normal (Web)"/>
    <w:basedOn w:val="Normal"/>
    <w:uiPriority w:val="99"/>
    <w:unhideWhenUsed/>
    <w:rsid w:val="00CC58F7"/>
    <w:pPr>
      <w:spacing w:before="100" w:beforeAutospacing="1" w:after="100" w:afterAutospacing="1"/>
      <w:jc w:val="left"/>
    </w:pPr>
    <w:rPr>
      <w:rFonts w:ascii="Times New Roman" w:hAnsi="Times New Roman"/>
      <w:szCs w:val="24"/>
      <w:lang w:val="en-AU" w:eastAsia="ko-KR"/>
    </w:rPr>
  </w:style>
  <w:style w:type="character" w:customStyle="1" w:styleId="current-selection">
    <w:name w:val="current-selection"/>
    <w:basedOn w:val="DefaultParagraphFont"/>
    <w:rsid w:val="002F4EBB"/>
  </w:style>
  <w:style w:type="character" w:customStyle="1" w:styleId="a">
    <w:name w:val="_"/>
    <w:basedOn w:val="DefaultParagraphFont"/>
    <w:rsid w:val="002F4EBB"/>
  </w:style>
  <w:style w:type="character" w:customStyle="1" w:styleId="enhanced-figure">
    <w:name w:val="enhanced-figure"/>
    <w:basedOn w:val="DefaultParagraphFont"/>
    <w:rsid w:val="002F4EBB"/>
  </w:style>
  <w:style w:type="character" w:customStyle="1" w:styleId="EndNoteBibliographyChar">
    <w:name w:val="EndNote Bibliography Char"/>
    <w:basedOn w:val="DefaultParagraphFont"/>
    <w:link w:val="EndNoteBibliography"/>
    <w:locked/>
    <w:rsid w:val="00E70A06"/>
    <w:rPr>
      <w:rFonts w:ascii="Times" w:hAnsi="Times" w:cs="Times"/>
      <w:noProof/>
      <w:sz w:val="24"/>
    </w:rPr>
  </w:style>
  <w:style w:type="paragraph" w:customStyle="1" w:styleId="EndNoteBibliography">
    <w:name w:val="EndNote Bibliography"/>
    <w:basedOn w:val="Normal"/>
    <w:link w:val="EndNoteBibliographyChar"/>
    <w:rsid w:val="00E70A06"/>
    <w:pPr>
      <w:spacing w:after="160"/>
      <w:jc w:val="left"/>
    </w:pPr>
    <w:rPr>
      <w:rFonts w:cs="Times"/>
      <w:noProof/>
    </w:rPr>
  </w:style>
  <w:style w:type="paragraph" w:customStyle="1" w:styleId="Head1">
    <w:name w:val="Head 1"/>
    <w:basedOn w:val="Normal"/>
    <w:link w:val="Head1Char"/>
    <w:autoRedefine/>
    <w:rsid w:val="002357B9"/>
    <w:pPr>
      <w:tabs>
        <w:tab w:val="left" w:pos="2391"/>
        <w:tab w:val="left" w:pos="3260"/>
      </w:tabs>
      <w:spacing w:after="0" w:line="480" w:lineRule="auto"/>
    </w:pPr>
    <w:rPr>
      <w:rFonts w:ascii="Times New Roman" w:eastAsia="MS Mincho" w:hAnsi="Times New Roman"/>
      <w:szCs w:val="24"/>
      <w:lang w:eastAsia="ja-JP"/>
    </w:rPr>
  </w:style>
  <w:style w:type="character" w:customStyle="1" w:styleId="Head1Char">
    <w:name w:val="Head 1 Char"/>
    <w:link w:val="Head1"/>
    <w:rsid w:val="002357B9"/>
    <w:rPr>
      <w:rFonts w:ascii="Times New Roman" w:eastAsia="MS Mincho" w:hAnsi="Times New Roman"/>
      <w:sz w:val="24"/>
      <w:szCs w:val="24"/>
      <w:lang w:eastAsia="ja-JP"/>
    </w:rPr>
  </w:style>
  <w:style w:type="paragraph" w:customStyle="1" w:styleId="Legend">
    <w:name w:val="Legend"/>
    <w:basedOn w:val="Normal"/>
    <w:rsid w:val="00AF29C3"/>
    <w:pPr>
      <w:spacing w:after="0"/>
      <w:jc w:val="left"/>
    </w:pPr>
    <w:rPr>
      <w:rFonts w:ascii="Times New Roman" w:eastAsia="MS Mincho" w:hAnsi="Times New Roman"/>
      <w:szCs w:val="24"/>
      <w:lang w:eastAsia="ja-JP"/>
    </w:rPr>
  </w:style>
  <w:style w:type="paragraph" w:styleId="Caption">
    <w:name w:val="caption"/>
    <w:basedOn w:val="Normal"/>
    <w:next w:val="Normal"/>
    <w:uiPriority w:val="35"/>
    <w:unhideWhenUsed/>
    <w:qFormat/>
    <w:rsid w:val="00AF29C3"/>
    <w:pPr>
      <w:spacing w:after="0"/>
      <w:jc w:val="left"/>
    </w:pPr>
    <w:rPr>
      <w:rFonts w:ascii="Times New Roman" w:eastAsia="MS Mincho" w:hAnsi="Times New Roman"/>
      <w:b/>
      <w:bCs/>
      <w:sz w:val="20"/>
      <w:lang w:val="de-DE" w:eastAsia="ja-JP"/>
    </w:rPr>
  </w:style>
  <w:style w:type="paragraph" w:customStyle="1" w:styleId="TableHead">
    <w:name w:val="TableHead"/>
    <w:basedOn w:val="Normal"/>
    <w:rsid w:val="00AF29C3"/>
    <w:pPr>
      <w:pBdr>
        <w:top w:val="single" w:sz="4" w:space="4" w:color="FFFFFF"/>
        <w:left w:val="single" w:sz="4" w:space="4" w:color="FFFFFF"/>
        <w:bottom w:val="single" w:sz="4" w:space="4" w:color="FFFFFF"/>
        <w:right w:val="single" w:sz="4" w:space="4" w:color="FFFFFF"/>
      </w:pBdr>
      <w:spacing w:after="0" w:line="190" w:lineRule="exact"/>
    </w:pPr>
    <w:rPr>
      <w:rFonts w:ascii="Arial" w:eastAsia="MS Mincho" w:hAnsi="Arial"/>
      <w:sz w:val="16"/>
      <w:szCs w:val="14"/>
      <w:lang w:val="en-GB" w:eastAsia="ja-JP"/>
    </w:rPr>
  </w:style>
  <w:style w:type="paragraph" w:customStyle="1" w:styleId="TableBody">
    <w:name w:val="TableBody"/>
    <w:basedOn w:val="TableHead"/>
    <w:rsid w:val="00AF29C3"/>
  </w:style>
  <w:style w:type="character" w:customStyle="1" w:styleId="RSCI04CaptiontoFigureSchemeChartChar">
    <w:name w:val="RSC I04 Caption to Figure/Scheme/Chart Char"/>
    <w:link w:val="RSCI04CaptiontoFigureSchemeChart"/>
    <w:locked/>
    <w:rsid w:val="00926D66"/>
  </w:style>
  <w:style w:type="paragraph" w:customStyle="1" w:styleId="RSCI04CaptiontoFigureSchemeChart">
    <w:name w:val="RSC I04 Caption to Figure/Scheme/Chart"/>
    <w:basedOn w:val="Normal"/>
    <w:link w:val="RSCI04CaptiontoFigureSchemeChartChar"/>
    <w:rsid w:val="00926D66"/>
    <w:pPr>
      <w:spacing w:line="200" w:lineRule="exact"/>
    </w:pPr>
    <w:rPr>
      <w:rFonts w:ascii="New York" w:hAnsi="New York"/>
      <w:sz w:val="20"/>
    </w:rPr>
  </w:style>
  <w:style w:type="paragraph" w:customStyle="1" w:styleId="Tableofcontents">
    <w:name w:val="Table of contents"/>
    <w:basedOn w:val="Normal"/>
    <w:autoRedefine/>
    <w:rsid w:val="00B85474"/>
    <w:pPr>
      <w:spacing w:after="0"/>
    </w:pPr>
    <w:rPr>
      <w:rFonts w:ascii="Times New Roman" w:eastAsia="MS Mincho" w:hAnsi="Times New Roman"/>
      <w:b/>
      <w:szCs w:val="24"/>
      <w:lang w:eastAsia="ja-JP"/>
    </w:rPr>
  </w:style>
  <w:style w:type="paragraph" w:styleId="Header">
    <w:name w:val="header"/>
    <w:basedOn w:val="Normal"/>
    <w:link w:val="HeaderChar"/>
    <w:unhideWhenUsed/>
    <w:rsid w:val="00DE15D9"/>
    <w:pPr>
      <w:tabs>
        <w:tab w:val="center" w:pos="4513"/>
        <w:tab w:val="right" w:pos="9026"/>
      </w:tabs>
      <w:spacing w:after="0"/>
    </w:pPr>
  </w:style>
  <w:style w:type="character" w:customStyle="1" w:styleId="HeaderChar">
    <w:name w:val="Header Char"/>
    <w:basedOn w:val="DefaultParagraphFont"/>
    <w:link w:val="Header"/>
    <w:rsid w:val="00DE15D9"/>
    <w:rPr>
      <w:rFonts w:ascii="Times" w:hAnsi="Times"/>
      <w:sz w:val="24"/>
    </w:rPr>
  </w:style>
  <w:style w:type="paragraph" w:styleId="ListParagraph">
    <w:name w:val="List Paragraph"/>
    <w:basedOn w:val="Normal"/>
    <w:uiPriority w:val="34"/>
    <w:qFormat/>
    <w:rsid w:val="00E80224"/>
    <w:pPr>
      <w:spacing w:after="160" w:line="259" w:lineRule="auto"/>
      <w:ind w:left="720"/>
      <w:contextualSpacing/>
      <w:jc w:val="left"/>
    </w:pPr>
    <w:rPr>
      <w:rFonts w:asciiTheme="minorHAnsi" w:eastAsiaTheme="minorEastAsia" w:hAnsiTheme="minorHAnsi" w:cstheme="minorBidi"/>
      <w:sz w:val="22"/>
      <w:szCs w:val="22"/>
      <w:lang w:val="en-AU" w:eastAsia="ja-JP"/>
    </w:rPr>
  </w:style>
  <w:style w:type="character" w:styleId="HTMLCite">
    <w:name w:val="HTML Cite"/>
    <w:basedOn w:val="DefaultParagraphFont"/>
    <w:uiPriority w:val="99"/>
    <w:semiHidden/>
    <w:unhideWhenUsed/>
    <w:rsid w:val="002B1DF2"/>
    <w:rPr>
      <w:i/>
      <w:iCs/>
    </w:rPr>
  </w:style>
  <w:style w:type="character" w:customStyle="1" w:styleId="citationyear">
    <w:name w:val="citation_year"/>
    <w:basedOn w:val="DefaultParagraphFont"/>
    <w:rsid w:val="002B1DF2"/>
  </w:style>
  <w:style w:type="character" w:customStyle="1" w:styleId="citationvolume">
    <w:name w:val="citation_volume"/>
    <w:basedOn w:val="DefaultParagraphFont"/>
    <w:rsid w:val="002B1DF2"/>
  </w:style>
  <w:style w:type="character" w:customStyle="1" w:styleId="FooterChar">
    <w:name w:val="Footer Char"/>
    <w:basedOn w:val="DefaultParagraphFont"/>
    <w:link w:val="Footer"/>
    <w:uiPriority w:val="99"/>
    <w:rsid w:val="00DB26EC"/>
    <w:rPr>
      <w:rFonts w:ascii="Times" w:hAnsi="Times"/>
      <w:sz w:val="24"/>
    </w:rPr>
  </w:style>
  <w:style w:type="paragraph" w:customStyle="1" w:styleId="EndNoteBibliographyTitle">
    <w:name w:val="EndNote Bibliography Title"/>
    <w:basedOn w:val="Normal"/>
    <w:link w:val="EndNoteBibliographyTitleChar"/>
    <w:rsid w:val="00B6143B"/>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B6143B"/>
    <w:rPr>
      <w:rFonts w:ascii="Times" w:hAnsi="Times" w:cs="Times"/>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uiPriority w:val="99"/>
    <w:unhideWhenUsed/>
    <w:rsid w:val="00A6414D"/>
    <w:rPr>
      <w:sz w:val="16"/>
      <w:szCs w:val="16"/>
    </w:rPr>
  </w:style>
  <w:style w:type="paragraph" w:styleId="CommentText">
    <w:name w:val="annotation text"/>
    <w:basedOn w:val="Normal"/>
    <w:link w:val="CommentTextChar"/>
    <w:uiPriority w:val="99"/>
    <w:unhideWhenUsed/>
    <w:rsid w:val="00A6414D"/>
    <w:pPr>
      <w:jc w:val="left"/>
    </w:pPr>
    <w:rPr>
      <w:rFonts w:asciiTheme="minorHAnsi" w:eastAsiaTheme="minorEastAsia" w:hAnsiTheme="minorHAnsi" w:cstheme="minorBidi"/>
      <w:sz w:val="20"/>
      <w:lang w:val="en-AU" w:eastAsia="en-AU"/>
    </w:rPr>
  </w:style>
  <w:style w:type="character" w:customStyle="1" w:styleId="CommentTextChar">
    <w:name w:val="Comment Text Char"/>
    <w:basedOn w:val="DefaultParagraphFont"/>
    <w:link w:val="CommentText"/>
    <w:uiPriority w:val="99"/>
    <w:rsid w:val="00A6414D"/>
    <w:rPr>
      <w:rFonts w:asciiTheme="minorHAnsi" w:eastAsiaTheme="minorEastAsia" w:hAnsiTheme="minorHAnsi" w:cstheme="minorBidi"/>
      <w:lang w:val="en-AU" w:eastAsia="en-AU"/>
    </w:rPr>
  </w:style>
  <w:style w:type="table" w:styleId="TableGrid">
    <w:name w:val="Table Grid"/>
    <w:basedOn w:val="TableNormal"/>
    <w:rsid w:val="00CC58F7"/>
    <w:rPr>
      <w:rFonts w:asciiTheme="minorHAnsi" w:eastAsiaTheme="minorEastAsia"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SCB02ArticleText">
    <w:name w:val="RSC B02 Article Text"/>
    <w:basedOn w:val="Normal"/>
    <w:link w:val="RSCB02ArticleTextChar"/>
    <w:qFormat/>
    <w:rsid w:val="00CC58F7"/>
    <w:pPr>
      <w:tabs>
        <w:tab w:val="left" w:pos="284"/>
      </w:tabs>
      <w:spacing w:after="0" w:line="240" w:lineRule="exact"/>
    </w:pPr>
    <w:rPr>
      <w:rFonts w:asciiTheme="minorHAnsi" w:eastAsiaTheme="minorEastAsia" w:hAnsiTheme="minorHAnsi"/>
      <w:w w:val="108"/>
      <w:sz w:val="18"/>
      <w:szCs w:val="18"/>
      <w:lang w:val="en-GB"/>
    </w:rPr>
  </w:style>
  <w:style w:type="character" w:customStyle="1" w:styleId="RSCB02ArticleTextChar">
    <w:name w:val="RSC B02 Article Text Char"/>
    <w:basedOn w:val="DefaultParagraphFont"/>
    <w:link w:val="RSCB02ArticleText"/>
    <w:rsid w:val="00CC58F7"/>
    <w:rPr>
      <w:rFonts w:asciiTheme="minorHAnsi" w:eastAsiaTheme="minorEastAsia" w:hAnsiTheme="minorHAnsi"/>
      <w:w w:val="108"/>
      <w:sz w:val="18"/>
      <w:szCs w:val="18"/>
      <w:lang w:val="en-GB"/>
    </w:rPr>
  </w:style>
  <w:style w:type="paragraph" w:styleId="NormalWeb">
    <w:name w:val="Normal (Web)"/>
    <w:basedOn w:val="Normal"/>
    <w:uiPriority w:val="99"/>
    <w:unhideWhenUsed/>
    <w:rsid w:val="00CC58F7"/>
    <w:pPr>
      <w:spacing w:before="100" w:beforeAutospacing="1" w:after="100" w:afterAutospacing="1"/>
      <w:jc w:val="left"/>
    </w:pPr>
    <w:rPr>
      <w:rFonts w:ascii="Times New Roman" w:hAnsi="Times New Roman"/>
      <w:szCs w:val="24"/>
      <w:lang w:val="en-AU" w:eastAsia="ko-KR"/>
    </w:rPr>
  </w:style>
  <w:style w:type="character" w:customStyle="1" w:styleId="current-selection">
    <w:name w:val="current-selection"/>
    <w:basedOn w:val="DefaultParagraphFont"/>
    <w:rsid w:val="002F4EBB"/>
  </w:style>
  <w:style w:type="character" w:customStyle="1" w:styleId="a">
    <w:name w:val="_"/>
    <w:basedOn w:val="DefaultParagraphFont"/>
    <w:rsid w:val="002F4EBB"/>
  </w:style>
  <w:style w:type="character" w:customStyle="1" w:styleId="enhanced-figure">
    <w:name w:val="enhanced-figure"/>
    <w:basedOn w:val="DefaultParagraphFont"/>
    <w:rsid w:val="002F4EBB"/>
  </w:style>
  <w:style w:type="character" w:customStyle="1" w:styleId="EndNoteBibliographyChar">
    <w:name w:val="EndNote Bibliography Char"/>
    <w:basedOn w:val="DefaultParagraphFont"/>
    <w:link w:val="EndNoteBibliography"/>
    <w:locked/>
    <w:rsid w:val="00E70A06"/>
    <w:rPr>
      <w:rFonts w:ascii="Times" w:hAnsi="Times" w:cs="Times"/>
      <w:noProof/>
      <w:sz w:val="24"/>
    </w:rPr>
  </w:style>
  <w:style w:type="paragraph" w:customStyle="1" w:styleId="EndNoteBibliography">
    <w:name w:val="EndNote Bibliography"/>
    <w:basedOn w:val="Normal"/>
    <w:link w:val="EndNoteBibliographyChar"/>
    <w:rsid w:val="00E70A06"/>
    <w:pPr>
      <w:spacing w:after="160"/>
      <w:jc w:val="left"/>
    </w:pPr>
    <w:rPr>
      <w:rFonts w:cs="Times"/>
      <w:noProof/>
    </w:rPr>
  </w:style>
  <w:style w:type="paragraph" w:customStyle="1" w:styleId="Head1">
    <w:name w:val="Head 1"/>
    <w:basedOn w:val="Normal"/>
    <w:link w:val="Head1Char"/>
    <w:autoRedefine/>
    <w:rsid w:val="002357B9"/>
    <w:pPr>
      <w:tabs>
        <w:tab w:val="left" w:pos="2391"/>
        <w:tab w:val="left" w:pos="3260"/>
      </w:tabs>
      <w:spacing w:after="0" w:line="480" w:lineRule="auto"/>
    </w:pPr>
    <w:rPr>
      <w:rFonts w:ascii="Times New Roman" w:eastAsia="MS Mincho" w:hAnsi="Times New Roman"/>
      <w:szCs w:val="24"/>
      <w:lang w:eastAsia="ja-JP"/>
    </w:rPr>
  </w:style>
  <w:style w:type="character" w:customStyle="1" w:styleId="Head1Char">
    <w:name w:val="Head 1 Char"/>
    <w:link w:val="Head1"/>
    <w:rsid w:val="002357B9"/>
    <w:rPr>
      <w:rFonts w:ascii="Times New Roman" w:eastAsia="MS Mincho" w:hAnsi="Times New Roman"/>
      <w:sz w:val="24"/>
      <w:szCs w:val="24"/>
      <w:lang w:eastAsia="ja-JP"/>
    </w:rPr>
  </w:style>
  <w:style w:type="paragraph" w:customStyle="1" w:styleId="Legend">
    <w:name w:val="Legend"/>
    <w:basedOn w:val="Normal"/>
    <w:rsid w:val="00AF29C3"/>
    <w:pPr>
      <w:spacing w:after="0"/>
      <w:jc w:val="left"/>
    </w:pPr>
    <w:rPr>
      <w:rFonts w:ascii="Times New Roman" w:eastAsia="MS Mincho" w:hAnsi="Times New Roman"/>
      <w:szCs w:val="24"/>
      <w:lang w:eastAsia="ja-JP"/>
    </w:rPr>
  </w:style>
  <w:style w:type="paragraph" w:styleId="Caption">
    <w:name w:val="caption"/>
    <w:basedOn w:val="Normal"/>
    <w:next w:val="Normal"/>
    <w:uiPriority w:val="35"/>
    <w:unhideWhenUsed/>
    <w:qFormat/>
    <w:rsid w:val="00AF29C3"/>
    <w:pPr>
      <w:spacing w:after="0"/>
      <w:jc w:val="left"/>
    </w:pPr>
    <w:rPr>
      <w:rFonts w:ascii="Times New Roman" w:eastAsia="MS Mincho" w:hAnsi="Times New Roman"/>
      <w:b/>
      <w:bCs/>
      <w:sz w:val="20"/>
      <w:lang w:val="de-DE" w:eastAsia="ja-JP"/>
    </w:rPr>
  </w:style>
  <w:style w:type="paragraph" w:customStyle="1" w:styleId="TableHead">
    <w:name w:val="TableHead"/>
    <w:basedOn w:val="Normal"/>
    <w:rsid w:val="00AF29C3"/>
    <w:pPr>
      <w:pBdr>
        <w:top w:val="single" w:sz="4" w:space="4" w:color="FFFFFF"/>
        <w:left w:val="single" w:sz="4" w:space="4" w:color="FFFFFF"/>
        <w:bottom w:val="single" w:sz="4" w:space="4" w:color="FFFFFF"/>
        <w:right w:val="single" w:sz="4" w:space="4" w:color="FFFFFF"/>
      </w:pBdr>
      <w:spacing w:after="0" w:line="190" w:lineRule="exact"/>
    </w:pPr>
    <w:rPr>
      <w:rFonts w:ascii="Arial" w:eastAsia="MS Mincho" w:hAnsi="Arial"/>
      <w:sz w:val="16"/>
      <w:szCs w:val="14"/>
      <w:lang w:val="en-GB" w:eastAsia="ja-JP"/>
    </w:rPr>
  </w:style>
  <w:style w:type="paragraph" w:customStyle="1" w:styleId="TableBody">
    <w:name w:val="TableBody"/>
    <w:basedOn w:val="TableHead"/>
    <w:rsid w:val="00AF29C3"/>
  </w:style>
  <w:style w:type="character" w:customStyle="1" w:styleId="RSCI04CaptiontoFigureSchemeChartChar">
    <w:name w:val="RSC I04 Caption to Figure/Scheme/Chart Char"/>
    <w:link w:val="RSCI04CaptiontoFigureSchemeChart"/>
    <w:locked/>
    <w:rsid w:val="00926D66"/>
  </w:style>
  <w:style w:type="paragraph" w:customStyle="1" w:styleId="RSCI04CaptiontoFigureSchemeChart">
    <w:name w:val="RSC I04 Caption to Figure/Scheme/Chart"/>
    <w:basedOn w:val="Normal"/>
    <w:link w:val="RSCI04CaptiontoFigureSchemeChartChar"/>
    <w:rsid w:val="00926D66"/>
    <w:pPr>
      <w:spacing w:line="200" w:lineRule="exact"/>
    </w:pPr>
    <w:rPr>
      <w:rFonts w:ascii="New York" w:hAnsi="New York"/>
      <w:sz w:val="20"/>
    </w:rPr>
  </w:style>
  <w:style w:type="paragraph" w:customStyle="1" w:styleId="Tableofcontents">
    <w:name w:val="Table of contents"/>
    <w:basedOn w:val="Normal"/>
    <w:autoRedefine/>
    <w:rsid w:val="00B85474"/>
    <w:pPr>
      <w:spacing w:after="0"/>
    </w:pPr>
    <w:rPr>
      <w:rFonts w:ascii="Times New Roman" w:eastAsia="MS Mincho" w:hAnsi="Times New Roman"/>
      <w:b/>
      <w:szCs w:val="24"/>
      <w:lang w:eastAsia="ja-JP"/>
    </w:rPr>
  </w:style>
  <w:style w:type="paragraph" w:styleId="Header">
    <w:name w:val="header"/>
    <w:basedOn w:val="Normal"/>
    <w:link w:val="HeaderChar"/>
    <w:unhideWhenUsed/>
    <w:rsid w:val="00DE15D9"/>
    <w:pPr>
      <w:tabs>
        <w:tab w:val="center" w:pos="4513"/>
        <w:tab w:val="right" w:pos="9026"/>
      </w:tabs>
      <w:spacing w:after="0"/>
    </w:pPr>
  </w:style>
  <w:style w:type="character" w:customStyle="1" w:styleId="HeaderChar">
    <w:name w:val="Header Char"/>
    <w:basedOn w:val="DefaultParagraphFont"/>
    <w:link w:val="Header"/>
    <w:rsid w:val="00DE15D9"/>
    <w:rPr>
      <w:rFonts w:ascii="Times" w:hAnsi="Times"/>
      <w:sz w:val="24"/>
    </w:rPr>
  </w:style>
  <w:style w:type="paragraph" w:styleId="ListParagraph">
    <w:name w:val="List Paragraph"/>
    <w:basedOn w:val="Normal"/>
    <w:uiPriority w:val="34"/>
    <w:qFormat/>
    <w:rsid w:val="00E80224"/>
    <w:pPr>
      <w:spacing w:after="160" w:line="259" w:lineRule="auto"/>
      <w:ind w:left="720"/>
      <w:contextualSpacing/>
      <w:jc w:val="left"/>
    </w:pPr>
    <w:rPr>
      <w:rFonts w:asciiTheme="minorHAnsi" w:eastAsiaTheme="minorEastAsia" w:hAnsiTheme="minorHAnsi" w:cstheme="minorBidi"/>
      <w:sz w:val="22"/>
      <w:szCs w:val="22"/>
      <w:lang w:val="en-AU" w:eastAsia="ja-JP"/>
    </w:rPr>
  </w:style>
  <w:style w:type="character" w:styleId="HTMLCite">
    <w:name w:val="HTML Cite"/>
    <w:basedOn w:val="DefaultParagraphFont"/>
    <w:uiPriority w:val="99"/>
    <w:semiHidden/>
    <w:unhideWhenUsed/>
    <w:rsid w:val="002B1DF2"/>
    <w:rPr>
      <w:i/>
      <w:iCs/>
    </w:rPr>
  </w:style>
  <w:style w:type="character" w:customStyle="1" w:styleId="citationyear">
    <w:name w:val="citation_year"/>
    <w:basedOn w:val="DefaultParagraphFont"/>
    <w:rsid w:val="002B1DF2"/>
  </w:style>
  <w:style w:type="character" w:customStyle="1" w:styleId="citationvolume">
    <w:name w:val="citation_volume"/>
    <w:basedOn w:val="DefaultParagraphFont"/>
    <w:rsid w:val="002B1DF2"/>
  </w:style>
  <w:style w:type="character" w:customStyle="1" w:styleId="FooterChar">
    <w:name w:val="Footer Char"/>
    <w:basedOn w:val="DefaultParagraphFont"/>
    <w:link w:val="Footer"/>
    <w:uiPriority w:val="99"/>
    <w:rsid w:val="00DB26EC"/>
    <w:rPr>
      <w:rFonts w:ascii="Times" w:hAnsi="Times"/>
      <w:sz w:val="24"/>
    </w:rPr>
  </w:style>
  <w:style w:type="paragraph" w:customStyle="1" w:styleId="EndNoteBibliographyTitle">
    <w:name w:val="EndNote Bibliography Title"/>
    <w:basedOn w:val="Normal"/>
    <w:link w:val="EndNoteBibliographyTitleChar"/>
    <w:rsid w:val="00B6143B"/>
    <w:pPr>
      <w:spacing w:after="0"/>
      <w:jc w:val="center"/>
    </w:pPr>
    <w:rPr>
      <w:rFonts w:cs="Times"/>
      <w:noProof/>
    </w:rPr>
  </w:style>
  <w:style w:type="character" w:customStyle="1" w:styleId="EndNoteBibliographyTitleChar">
    <w:name w:val="EndNote Bibliography Title Char"/>
    <w:basedOn w:val="DefaultParagraphFont"/>
    <w:link w:val="EndNoteBibliographyTitle"/>
    <w:rsid w:val="00B6143B"/>
    <w:rPr>
      <w:rFonts w:ascii="Times" w:hAnsi="Times" w:cs="Time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4548">
      <w:bodyDiv w:val="1"/>
      <w:marLeft w:val="0"/>
      <w:marRight w:val="0"/>
      <w:marTop w:val="0"/>
      <w:marBottom w:val="0"/>
      <w:divBdr>
        <w:top w:val="none" w:sz="0" w:space="0" w:color="auto"/>
        <w:left w:val="none" w:sz="0" w:space="0" w:color="auto"/>
        <w:bottom w:val="none" w:sz="0" w:space="0" w:color="auto"/>
        <w:right w:val="none" w:sz="0" w:space="0" w:color="auto"/>
      </w:divBdr>
    </w:div>
    <w:div w:id="99955973">
      <w:bodyDiv w:val="1"/>
      <w:marLeft w:val="0"/>
      <w:marRight w:val="0"/>
      <w:marTop w:val="0"/>
      <w:marBottom w:val="0"/>
      <w:divBdr>
        <w:top w:val="none" w:sz="0" w:space="0" w:color="auto"/>
        <w:left w:val="none" w:sz="0" w:space="0" w:color="auto"/>
        <w:bottom w:val="none" w:sz="0" w:space="0" w:color="auto"/>
        <w:right w:val="none" w:sz="0" w:space="0" w:color="auto"/>
      </w:divBdr>
    </w:div>
    <w:div w:id="105857470">
      <w:bodyDiv w:val="1"/>
      <w:marLeft w:val="0"/>
      <w:marRight w:val="0"/>
      <w:marTop w:val="0"/>
      <w:marBottom w:val="0"/>
      <w:divBdr>
        <w:top w:val="none" w:sz="0" w:space="0" w:color="auto"/>
        <w:left w:val="none" w:sz="0" w:space="0" w:color="auto"/>
        <w:bottom w:val="none" w:sz="0" w:space="0" w:color="auto"/>
        <w:right w:val="none" w:sz="0" w:space="0" w:color="auto"/>
      </w:divBdr>
    </w:div>
    <w:div w:id="106389945">
      <w:bodyDiv w:val="1"/>
      <w:marLeft w:val="0"/>
      <w:marRight w:val="0"/>
      <w:marTop w:val="0"/>
      <w:marBottom w:val="0"/>
      <w:divBdr>
        <w:top w:val="none" w:sz="0" w:space="0" w:color="auto"/>
        <w:left w:val="none" w:sz="0" w:space="0" w:color="auto"/>
        <w:bottom w:val="none" w:sz="0" w:space="0" w:color="auto"/>
        <w:right w:val="none" w:sz="0" w:space="0" w:color="auto"/>
      </w:divBdr>
    </w:div>
    <w:div w:id="176509677">
      <w:bodyDiv w:val="1"/>
      <w:marLeft w:val="0"/>
      <w:marRight w:val="0"/>
      <w:marTop w:val="0"/>
      <w:marBottom w:val="0"/>
      <w:divBdr>
        <w:top w:val="none" w:sz="0" w:space="0" w:color="auto"/>
        <w:left w:val="none" w:sz="0" w:space="0" w:color="auto"/>
        <w:bottom w:val="none" w:sz="0" w:space="0" w:color="auto"/>
        <w:right w:val="none" w:sz="0" w:space="0" w:color="auto"/>
      </w:divBdr>
    </w:div>
    <w:div w:id="246235542">
      <w:bodyDiv w:val="1"/>
      <w:marLeft w:val="0"/>
      <w:marRight w:val="0"/>
      <w:marTop w:val="0"/>
      <w:marBottom w:val="0"/>
      <w:divBdr>
        <w:top w:val="none" w:sz="0" w:space="0" w:color="auto"/>
        <w:left w:val="none" w:sz="0" w:space="0" w:color="auto"/>
        <w:bottom w:val="none" w:sz="0" w:space="0" w:color="auto"/>
        <w:right w:val="none" w:sz="0" w:space="0" w:color="auto"/>
      </w:divBdr>
      <w:divsChild>
        <w:div w:id="64232394">
          <w:marLeft w:val="0"/>
          <w:marRight w:val="0"/>
          <w:marTop w:val="0"/>
          <w:marBottom w:val="0"/>
          <w:divBdr>
            <w:top w:val="none" w:sz="0" w:space="0" w:color="auto"/>
            <w:left w:val="none" w:sz="0" w:space="0" w:color="auto"/>
            <w:bottom w:val="none" w:sz="0" w:space="0" w:color="auto"/>
            <w:right w:val="none" w:sz="0" w:space="0" w:color="auto"/>
          </w:divBdr>
        </w:div>
        <w:div w:id="695888847">
          <w:marLeft w:val="0"/>
          <w:marRight w:val="0"/>
          <w:marTop w:val="0"/>
          <w:marBottom w:val="0"/>
          <w:divBdr>
            <w:top w:val="none" w:sz="0" w:space="0" w:color="auto"/>
            <w:left w:val="none" w:sz="0" w:space="0" w:color="auto"/>
            <w:bottom w:val="none" w:sz="0" w:space="0" w:color="auto"/>
            <w:right w:val="none" w:sz="0" w:space="0" w:color="auto"/>
          </w:divBdr>
        </w:div>
        <w:div w:id="252129186">
          <w:marLeft w:val="0"/>
          <w:marRight w:val="0"/>
          <w:marTop w:val="0"/>
          <w:marBottom w:val="0"/>
          <w:divBdr>
            <w:top w:val="none" w:sz="0" w:space="0" w:color="auto"/>
            <w:left w:val="none" w:sz="0" w:space="0" w:color="auto"/>
            <w:bottom w:val="none" w:sz="0" w:space="0" w:color="auto"/>
            <w:right w:val="none" w:sz="0" w:space="0" w:color="auto"/>
          </w:divBdr>
        </w:div>
        <w:div w:id="52892731">
          <w:marLeft w:val="0"/>
          <w:marRight w:val="0"/>
          <w:marTop w:val="0"/>
          <w:marBottom w:val="0"/>
          <w:divBdr>
            <w:top w:val="none" w:sz="0" w:space="0" w:color="auto"/>
            <w:left w:val="none" w:sz="0" w:space="0" w:color="auto"/>
            <w:bottom w:val="none" w:sz="0" w:space="0" w:color="auto"/>
            <w:right w:val="none" w:sz="0" w:space="0" w:color="auto"/>
          </w:divBdr>
        </w:div>
        <w:div w:id="821769980">
          <w:marLeft w:val="0"/>
          <w:marRight w:val="0"/>
          <w:marTop w:val="0"/>
          <w:marBottom w:val="0"/>
          <w:divBdr>
            <w:top w:val="none" w:sz="0" w:space="0" w:color="auto"/>
            <w:left w:val="none" w:sz="0" w:space="0" w:color="auto"/>
            <w:bottom w:val="none" w:sz="0" w:space="0" w:color="auto"/>
            <w:right w:val="none" w:sz="0" w:space="0" w:color="auto"/>
          </w:divBdr>
        </w:div>
        <w:div w:id="1988390204">
          <w:marLeft w:val="0"/>
          <w:marRight w:val="0"/>
          <w:marTop w:val="0"/>
          <w:marBottom w:val="0"/>
          <w:divBdr>
            <w:top w:val="none" w:sz="0" w:space="0" w:color="auto"/>
            <w:left w:val="none" w:sz="0" w:space="0" w:color="auto"/>
            <w:bottom w:val="none" w:sz="0" w:space="0" w:color="auto"/>
            <w:right w:val="none" w:sz="0" w:space="0" w:color="auto"/>
          </w:divBdr>
        </w:div>
        <w:div w:id="1317343086">
          <w:marLeft w:val="0"/>
          <w:marRight w:val="0"/>
          <w:marTop w:val="0"/>
          <w:marBottom w:val="0"/>
          <w:divBdr>
            <w:top w:val="none" w:sz="0" w:space="0" w:color="auto"/>
            <w:left w:val="none" w:sz="0" w:space="0" w:color="auto"/>
            <w:bottom w:val="none" w:sz="0" w:space="0" w:color="auto"/>
            <w:right w:val="none" w:sz="0" w:space="0" w:color="auto"/>
          </w:divBdr>
        </w:div>
        <w:div w:id="1765301171">
          <w:marLeft w:val="0"/>
          <w:marRight w:val="0"/>
          <w:marTop w:val="0"/>
          <w:marBottom w:val="0"/>
          <w:divBdr>
            <w:top w:val="none" w:sz="0" w:space="0" w:color="auto"/>
            <w:left w:val="none" w:sz="0" w:space="0" w:color="auto"/>
            <w:bottom w:val="none" w:sz="0" w:space="0" w:color="auto"/>
            <w:right w:val="none" w:sz="0" w:space="0" w:color="auto"/>
          </w:divBdr>
        </w:div>
        <w:div w:id="260071111">
          <w:marLeft w:val="0"/>
          <w:marRight w:val="0"/>
          <w:marTop w:val="0"/>
          <w:marBottom w:val="0"/>
          <w:divBdr>
            <w:top w:val="none" w:sz="0" w:space="0" w:color="auto"/>
            <w:left w:val="none" w:sz="0" w:space="0" w:color="auto"/>
            <w:bottom w:val="none" w:sz="0" w:space="0" w:color="auto"/>
            <w:right w:val="none" w:sz="0" w:space="0" w:color="auto"/>
          </w:divBdr>
        </w:div>
        <w:div w:id="745419317">
          <w:marLeft w:val="0"/>
          <w:marRight w:val="0"/>
          <w:marTop w:val="0"/>
          <w:marBottom w:val="0"/>
          <w:divBdr>
            <w:top w:val="none" w:sz="0" w:space="0" w:color="auto"/>
            <w:left w:val="none" w:sz="0" w:space="0" w:color="auto"/>
            <w:bottom w:val="none" w:sz="0" w:space="0" w:color="auto"/>
            <w:right w:val="none" w:sz="0" w:space="0" w:color="auto"/>
          </w:divBdr>
        </w:div>
        <w:div w:id="906188152">
          <w:marLeft w:val="0"/>
          <w:marRight w:val="0"/>
          <w:marTop w:val="0"/>
          <w:marBottom w:val="0"/>
          <w:divBdr>
            <w:top w:val="none" w:sz="0" w:space="0" w:color="auto"/>
            <w:left w:val="none" w:sz="0" w:space="0" w:color="auto"/>
            <w:bottom w:val="none" w:sz="0" w:space="0" w:color="auto"/>
            <w:right w:val="none" w:sz="0" w:space="0" w:color="auto"/>
          </w:divBdr>
        </w:div>
        <w:div w:id="2057507277">
          <w:marLeft w:val="0"/>
          <w:marRight w:val="0"/>
          <w:marTop w:val="0"/>
          <w:marBottom w:val="0"/>
          <w:divBdr>
            <w:top w:val="none" w:sz="0" w:space="0" w:color="auto"/>
            <w:left w:val="none" w:sz="0" w:space="0" w:color="auto"/>
            <w:bottom w:val="none" w:sz="0" w:space="0" w:color="auto"/>
            <w:right w:val="none" w:sz="0" w:space="0" w:color="auto"/>
          </w:divBdr>
        </w:div>
        <w:div w:id="1916088592">
          <w:marLeft w:val="0"/>
          <w:marRight w:val="0"/>
          <w:marTop w:val="0"/>
          <w:marBottom w:val="0"/>
          <w:divBdr>
            <w:top w:val="none" w:sz="0" w:space="0" w:color="auto"/>
            <w:left w:val="none" w:sz="0" w:space="0" w:color="auto"/>
            <w:bottom w:val="none" w:sz="0" w:space="0" w:color="auto"/>
            <w:right w:val="none" w:sz="0" w:space="0" w:color="auto"/>
          </w:divBdr>
        </w:div>
        <w:div w:id="1301228398">
          <w:marLeft w:val="0"/>
          <w:marRight w:val="0"/>
          <w:marTop w:val="0"/>
          <w:marBottom w:val="0"/>
          <w:divBdr>
            <w:top w:val="none" w:sz="0" w:space="0" w:color="auto"/>
            <w:left w:val="none" w:sz="0" w:space="0" w:color="auto"/>
            <w:bottom w:val="none" w:sz="0" w:space="0" w:color="auto"/>
            <w:right w:val="none" w:sz="0" w:space="0" w:color="auto"/>
          </w:divBdr>
        </w:div>
        <w:div w:id="504975299">
          <w:marLeft w:val="0"/>
          <w:marRight w:val="0"/>
          <w:marTop w:val="0"/>
          <w:marBottom w:val="0"/>
          <w:divBdr>
            <w:top w:val="none" w:sz="0" w:space="0" w:color="auto"/>
            <w:left w:val="none" w:sz="0" w:space="0" w:color="auto"/>
            <w:bottom w:val="none" w:sz="0" w:space="0" w:color="auto"/>
            <w:right w:val="none" w:sz="0" w:space="0" w:color="auto"/>
          </w:divBdr>
        </w:div>
      </w:divsChild>
    </w:div>
    <w:div w:id="265893414">
      <w:bodyDiv w:val="1"/>
      <w:marLeft w:val="0"/>
      <w:marRight w:val="0"/>
      <w:marTop w:val="0"/>
      <w:marBottom w:val="0"/>
      <w:divBdr>
        <w:top w:val="none" w:sz="0" w:space="0" w:color="auto"/>
        <w:left w:val="none" w:sz="0" w:space="0" w:color="auto"/>
        <w:bottom w:val="none" w:sz="0" w:space="0" w:color="auto"/>
        <w:right w:val="none" w:sz="0" w:space="0" w:color="auto"/>
      </w:divBdr>
    </w:div>
    <w:div w:id="269169048">
      <w:bodyDiv w:val="1"/>
      <w:marLeft w:val="0"/>
      <w:marRight w:val="0"/>
      <w:marTop w:val="0"/>
      <w:marBottom w:val="0"/>
      <w:divBdr>
        <w:top w:val="none" w:sz="0" w:space="0" w:color="auto"/>
        <w:left w:val="none" w:sz="0" w:space="0" w:color="auto"/>
        <w:bottom w:val="none" w:sz="0" w:space="0" w:color="auto"/>
        <w:right w:val="none" w:sz="0" w:space="0" w:color="auto"/>
      </w:divBdr>
    </w:div>
    <w:div w:id="285744944">
      <w:bodyDiv w:val="1"/>
      <w:marLeft w:val="0"/>
      <w:marRight w:val="0"/>
      <w:marTop w:val="0"/>
      <w:marBottom w:val="0"/>
      <w:divBdr>
        <w:top w:val="none" w:sz="0" w:space="0" w:color="auto"/>
        <w:left w:val="none" w:sz="0" w:space="0" w:color="auto"/>
        <w:bottom w:val="none" w:sz="0" w:space="0" w:color="auto"/>
        <w:right w:val="none" w:sz="0" w:space="0" w:color="auto"/>
      </w:divBdr>
    </w:div>
    <w:div w:id="498889565">
      <w:bodyDiv w:val="1"/>
      <w:marLeft w:val="0"/>
      <w:marRight w:val="0"/>
      <w:marTop w:val="0"/>
      <w:marBottom w:val="0"/>
      <w:divBdr>
        <w:top w:val="none" w:sz="0" w:space="0" w:color="auto"/>
        <w:left w:val="none" w:sz="0" w:space="0" w:color="auto"/>
        <w:bottom w:val="none" w:sz="0" w:space="0" w:color="auto"/>
        <w:right w:val="none" w:sz="0" w:space="0" w:color="auto"/>
      </w:divBdr>
    </w:div>
    <w:div w:id="644361651">
      <w:bodyDiv w:val="1"/>
      <w:marLeft w:val="0"/>
      <w:marRight w:val="0"/>
      <w:marTop w:val="0"/>
      <w:marBottom w:val="0"/>
      <w:divBdr>
        <w:top w:val="none" w:sz="0" w:space="0" w:color="auto"/>
        <w:left w:val="none" w:sz="0" w:space="0" w:color="auto"/>
        <w:bottom w:val="none" w:sz="0" w:space="0" w:color="auto"/>
        <w:right w:val="none" w:sz="0" w:space="0" w:color="auto"/>
      </w:divBdr>
    </w:div>
    <w:div w:id="959610526">
      <w:bodyDiv w:val="1"/>
      <w:marLeft w:val="0"/>
      <w:marRight w:val="0"/>
      <w:marTop w:val="0"/>
      <w:marBottom w:val="0"/>
      <w:divBdr>
        <w:top w:val="none" w:sz="0" w:space="0" w:color="auto"/>
        <w:left w:val="none" w:sz="0" w:space="0" w:color="auto"/>
        <w:bottom w:val="none" w:sz="0" w:space="0" w:color="auto"/>
        <w:right w:val="none" w:sz="0" w:space="0" w:color="auto"/>
      </w:divBdr>
    </w:div>
    <w:div w:id="1040012131">
      <w:bodyDiv w:val="1"/>
      <w:marLeft w:val="0"/>
      <w:marRight w:val="0"/>
      <w:marTop w:val="0"/>
      <w:marBottom w:val="0"/>
      <w:divBdr>
        <w:top w:val="none" w:sz="0" w:space="0" w:color="auto"/>
        <w:left w:val="none" w:sz="0" w:space="0" w:color="auto"/>
        <w:bottom w:val="none" w:sz="0" w:space="0" w:color="auto"/>
        <w:right w:val="none" w:sz="0" w:space="0" w:color="auto"/>
      </w:divBdr>
    </w:div>
    <w:div w:id="1118793085">
      <w:bodyDiv w:val="1"/>
      <w:marLeft w:val="0"/>
      <w:marRight w:val="0"/>
      <w:marTop w:val="0"/>
      <w:marBottom w:val="0"/>
      <w:divBdr>
        <w:top w:val="none" w:sz="0" w:space="0" w:color="auto"/>
        <w:left w:val="none" w:sz="0" w:space="0" w:color="auto"/>
        <w:bottom w:val="none" w:sz="0" w:space="0" w:color="auto"/>
        <w:right w:val="none" w:sz="0" w:space="0" w:color="auto"/>
      </w:divBdr>
    </w:div>
    <w:div w:id="1224951924">
      <w:bodyDiv w:val="1"/>
      <w:marLeft w:val="0"/>
      <w:marRight w:val="0"/>
      <w:marTop w:val="0"/>
      <w:marBottom w:val="0"/>
      <w:divBdr>
        <w:top w:val="none" w:sz="0" w:space="0" w:color="auto"/>
        <w:left w:val="none" w:sz="0" w:space="0" w:color="auto"/>
        <w:bottom w:val="none" w:sz="0" w:space="0" w:color="auto"/>
        <w:right w:val="none" w:sz="0" w:space="0" w:color="auto"/>
      </w:divBdr>
    </w:div>
    <w:div w:id="1241676120">
      <w:bodyDiv w:val="1"/>
      <w:marLeft w:val="0"/>
      <w:marRight w:val="0"/>
      <w:marTop w:val="0"/>
      <w:marBottom w:val="0"/>
      <w:divBdr>
        <w:top w:val="none" w:sz="0" w:space="0" w:color="auto"/>
        <w:left w:val="none" w:sz="0" w:space="0" w:color="auto"/>
        <w:bottom w:val="none" w:sz="0" w:space="0" w:color="auto"/>
        <w:right w:val="none" w:sz="0" w:space="0" w:color="auto"/>
      </w:divBdr>
    </w:div>
    <w:div w:id="1353796496">
      <w:bodyDiv w:val="1"/>
      <w:marLeft w:val="0"/>
      <w:marRight w:val="0"/>
      <w:marTop w:val="0"/>
      <w:marBottom w:val="0"/>
      <w:divBdr>
        <w:top w:val="none" w:sz="0" w:space="0" w:color="auto"/>
        <w:left w:val="none" w:sz="0" w:space="0" w:color="auto"/>
        <w:bottom w:val="none" w:sz="0" w:space="0" w:color="auto"/>
        <w:right w:val="none" w:sz="0" w:space="0" w:color="auto"/>
      </w:divBdr>
    </w:div>
    <w:div w:id="1388534644">
      <w:bodyDiv w:val="1"/>
      <w:marLeft w:val="0"/>
      <w:marRight w:val="0"/>
      <w:marTop w:val="0"/>
      <w:marBottom w:val="0"/>
      <w:divBdr>
        <w:top w:val="none" w:sz="0" w:space="0" w:color="auto"/>
        <w:left w:val="none" w:sz="0" w:space="0" w:color="auto"/>
        <w:bottom w:val="none" w:sz="0" w:space="0" w:color="auto"/>
        <w:right w:val="none" w:sz="0" w:space="0" w:color="auto"/>
      </w:divBdr>
    </w:div>
    <w:div w:id="1391267129">
      <w:bodyDiv w:val="1"/>
      <w:marLeft w:val="0"/>
      <w:marRight w:val="0"/>
      <w:marTop w:val="0"/>
      <w:marBottom w:val="0"/>
      <w:divBdr>
        <w:top w:val="none" w:sz="0" w:space="0" w:color="auto"/>
        <w:left w:val="none" w:sz="0" w:space="0" w:color="auto"/>
        <w:bottom w:val="none" w:sz="0" w:space="0" w:color="auto"/>
        <w:right w:val="none" w:sz="0" w:space="0" w:color="auto"/>
      </w:divBdr>
    </w:div>
    <w:div w:id="140853067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76">
          <w:marLeft w:val="0"/>
          <w:marRight w:val="0"/>
          <w:marTop w:val="0"/>
          <w:marBottom w:val="0"/>
          <w:divBdr>
            <w:top w:val="none" w:sz="0" w:space="0" w:color="auto"/>
            <w:left w:val="none" w:sz="0" w:space="0" w:color="auto"/>
            <w:bottom w:val="none" w:sz="0" w:space="0" w:color="auto"/>
            <w:right w:val="none" w:sz="0" w:space="0" w:color="auto"/>
          </w:divBdr>
        </w:div>
        <w:div w:id="755251803">
          <w:marLeft w:val="0"/>
          <w:marRight w:val="0"/>
          <w:marTop w:val="0"/>
          <w:marBottom w:val="0"/>
          <w:divBdr>
            <w:top w:val="none" w:sz="0" w:space="0" w:color="auto"/>
            <w:left w:val="none" w:sz="0" w:space="0" w:color="auto"/>
            <w:bottom w:val="none" w:sz="0" w:space="0" w:color="auto"/>
            <w:right w:val="none" w:sz="0" w:space="0" w:color="auto"/>
          </w:divBdr>
        </w:div>
        <w:div w:id="1583293106">
          <w:marLeft w:val="0"/>
          <w:marRight w:val="0"/>
          <w:marTop w:val="0"/>
          <w:marBottom w:val="0"/>
          <w:divBdr>
            <w:top w:val="none" w:sz="0" w:space="0" w:color="auto"/>
            <w:left w:val="none" w:sz="0" w:space="0" w:color="auto"/>
            <w:bottom w:val="none" w:sz="0" w:space="0" w:color="auto"/>
            <w:right w:val="none" w:sz="0" w:space="0" w:color="auto"/>
          </w:divBdr>
        </w:div>
        <w:div w:id="136647025">
          <w:marLeft w:val="0"/>
          <w:marRight w:val="0"/>
          <w:marTop w:val="0"/>
          <w:marBottom w:val="0"/>
          <w:divBdr>
            <w:top w:val="none" w:sz="0" w:space="0" w:color="auto"/>
            <w:left w:val="none" w:sz="0" w:space="0" w:color="auto"/>
            <w:bottom w:val="none" w:sz="0" w:space="0" w:color="auto"/>
            <w:right w:val="none" w:sz="0" w:space="0" w:color="auto"/>
          </w:divBdr>
        </w:div>
        <w:div w:id="664163841">
          <w:marLeft w:val="0"/>
          <w:marRight w:val="0"/>
          <w:marTop w:val="0"/>
          <w:marBottom w:val="0"/>
          <w:divBdr>
            <w:top w:val="none" w:sz="0" w:space="0" w:color="auto"/>
            <w:left w:val="none" w:sz="0" w:space="0" w:color="auto"/>
            <w:bottom w:val="none" w:sz="0" w:space="0" w:color="auto"/>
            <w:right w:val="none" w:sz="0" w:space="0" w:color="auto"/>
          </w:divBdr>
        </w:div>
        <w:div w:id="2009361765">
          <w:marLeft w:val="0"/>
          <w:marRight w:val="0"/>
          <w:marTop w:val="0"/>
          <w:marBottom w:val="0"/>
          <w:divBdr>
            <w:top w:val="none" w:sz="0" w:space="0" w:color="auto"/>
            <w:left w:val="none" w:sz="0" w:space="0" w:color="auto"/>
            <w:bottom w:val="none" w:sz="0" w:space="0" w:color="auto"/>
            <w:right w:val="none" w:sz="0" w:space="0" w:color="auto"/>
          </w:divBdr>
        </w:div>
        <w:div w:id="1993169266">
          <w:marLeft w:val="0"/>
          <w:marRight w:val="0"/>
          <w:marTop w:val="0"/>
          <w:marBottom w:val="0"/>
          <w:divBdr>
            <w:top w:val="none" w:sz="0" w:space="0" w:color="auto"/>
            <w:left w:val="none" w:sz="0" w:space="0" w:color="auto"/>
            <w:bottom w:val="none" w:sz="0" w:space="0" w:color="auto"/>
            <w:right w:val="none" w:sz="0" w:space="0" w:color="auto"/>
          </w:divBdr>
        </w:div>
        <w:div w:id="460728892">
          <w:marLeft w:val="0"/>
          <w:marRight w:val="0"/>
          <w:marTop w:val="0"/>
          <w:marBottom w:val="0"/>
          <w:divBdr>
            <w:top w:val="none" w:sz="0" w:space="0" w:color="auto"/>
            <w:left w:val="none" w:sz="0" w:space="0" w:color="auto"/>
            <w:bottom w:val="none" w:sz="0" w:space="0" w:color="auto"/>
            <w:right w:val="none" w:sz="0" w:space="0" w:color="auto"/>
          </w:divBdr>
        </w:div>
        <w:div w:id="1365908835">
          <w:marLeft w:val="0"/>
          <w:marRight w:val="0"/>
          <w:marTop w:val="0"/>
          <w:marBottom w:val="0"/>
          <w:divBdr>
            <w:top w:val="none" w:sz="0" w:space="0" w:color="auto"/>
            <w:left w:val="none" w:sz="0" w:space="0" w:color="auto"/>
            <w:bottom w:val="none" w:sz="0" w:space="0" w:color="auto"/>
            <w:right w:val="none" w:sz="0" w:space="0" w:color="auto"/>
          </w:divBdr>
        </w:div>
        <w:div w:id="1631787528">
          <w:marLeft w:val="0"/>
          <w:marRight w:val="0"/>
          <w:marTop w:val="0"/>
          <w:marBottom w:val="0"/>
          <w:divBdr>
            <w:top w:val="none" w:sz="0" w:space="0" w:color="auto"/>
            <w:left w:val="none" w:sz="0" w:space="0" w:color="auto"/>
            <w:bottom w:val="none" w:sz="0" w:space="0" w:color="auto"/>
            <w:right w:val="none" w:sz="0" w:space="0" w:color="auto"/>
          </w:divBdr>
        </w:div>
        <w:div w:id="585116568">
          <w:marLeft w:val="0"/>
          <w:marRight w:val="0"/>
          <w:marTop w:val="0"/>
          <w:marBottom w:val="0"/>
          <w:divBdr>
            <w:top w:val="none" w:sz="0" w:space="0" w:color="auto"/>
            <w:left w:val="none" w:sz="0" w:space="0" w:color="auto"/>
            <w:bottom w:val="none" w:sz="0" w:space="0" w:color="auto"/>
            <w:right w:val="none" w:sz="0" w:space="0" w:color="auto"/>
          </w:divBdr>
        </w:div>
        <w:div w:id="166597686">
          <w:marLeft w:val="0"/>
          <w:marRight w:val="0"/>
          <w:marTop w:val="0"/>
          <w:marBottom w:val="0"/>
          <w:divBdr>
            <w:top w:val="none" w:sz="0" w:space="0" w:color="auto"/>
            <w:left w:val="none" w:sz="0" w:space="0" w:color="auto"/>
            <w:bottom w:val="none" w:sz="0" w:space="0" w:color="auto"/>
            <w:right w:val="none" w:sz="0" w:space="0" w:color="auto"/>
          </w:divBdr>
        </w:div>
        <w:div w:id="1762333760">
          <w:marLeft w:val="0"/>
          <w:marRight w:val="0"/>
          <w:marTop w:val="0"/>
          <w:marBottom w:val="0"/>
          <w:divBdr>
            <w:top w:val="none" w:sz="0" w:space="0" w:color="auto"/>
            <w:left w:val="none" w:sz="0" w:space="0" w:color="auto"/>
            <w:bottom w:val="none" w:sz="0" w:space="0" w:color="auto"/>
            <w:right w:val="none" w:sz="0" w:space="0" w:color="auto"/>
          </w:divBdr>
        </w:div>
        <w:div w:id="1698853003">
          <w:marLeft w:val="0"/>
          <w:marRight w:val="0"/>
          <w:marTop w:val="0"/>
          <w:marBottom w:val="0"/>
          <w:divBdr>
            <w:top w:val="none" w:sz="0" w:space="0" w:color="auto"/>
            <w:left w:val="none" w:sz="0" w:space="0" w:color="auto"/>
            <w:bottom w:val="none" w:sz="0" w:space="0" w:color="auto"/>
            <w:right w:val="none" w:sz="0" w:space="0" w:color="auto"/>
          </w:divBdr>
        </w:div>
        <w:div w:id="997612826">
          <w:marLeft w:val="0"/>
          <w:marRight w:val="0"/>
          <w:marTop w:val="0"/>
          <w:marBottom w:val="0"/>
          <w:divBdr>
            <w:top w:val="none" w:sz="0" w:space="0" w:color="auto"/>
            <w:left w:val="none" w:sz="0" w:space="0" w:color="auto"/>
            <w:bottom w:val="none" w:sz="0" w:space="0" w:color="auto"/>
            <w:right w:val="none" w:sz="0" w:space="0" w:color="auto"/>
          </w:divBdr>
        </w:div>
      </w:divsChild>
    </w:div>
    <w:div w:id="1507791916">
      <w:bodyDiv w:val="1"/>
      <w:marLeft w:val="0"/>
      <w:marRight w:val="0"/>
      <w:marTop w:val="0"/>
      <w:marBottom w:val="0"/>
      <w:divBdr>
        <w:top w:val="none" w:sz="0" w:space="0" w:color="auto"/>
        <w:left w:val="none" w:sz="0" w:space="0" w:color="auto"/>
        <w:bottom w:val="none" w:sz="0" w:space="0" w:color="auto"/>
        <w:right w:val="none" w:sz="0" w:space="0" w:color="auto"/>
      </w:divBdr>
    </w:div>
    <w:div w:id="1647078798">
      <w:bodyDiv w:val="1"/>
      <w:marLeft w:val="0"/>
      <w:marRight w:val="0"/>
      <w:marTop w:val="0"/>
      <w:marBottom w:val="0"/>
      <w:divBdr>
        <w:top w:val="none" w:sz="0" w:space="0" w:color="auto"/>
        <w:left w:val="none" w:sz="0" w:space="0" w:color="auto"/>
        <w:bottom w:val="none" w:sz="0" w:space="0" w:color="auto"/>
        <w:right w:val="none" w:sz="0" w:space="0" w:color="auto"/>
      </w:divBdr>
    </w:div>
    <w:div w:id="166855420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64056432">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0542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kd\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acstemplate_msw2010.dotx</Template>
  <TotalTime>0</TotalTime>
  <Pages>14</Pages>
  <Words>2742</Words>
  <Characters>15630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18336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University of South Australia</dc:creator>
  <cp:lastModifiedBy>Smart</cp:lastModifiedBy>
  <cp:revision>2</cp:revision>
  <cp:lastPrinted>2008-06-11T21:33:00Z</cp:lastPrinted>
  <dcterms:created xsi:type="dcterms:W3CDTF">2019-06-28T13:03:00Z</dcterms:created>
  <dcterms:modified xsi:type="dcterms:W3CDTF">2019-06-28T13:03:00Z</dcterms:modified>
</cp:coreProperties>
</file>